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0F67" w14:textId="77777777" w:rsidR="00CB67EE" w:rsidRPr="00ED6E0A" w:rsidRDefault="00780BA6">
      <w:pPr>
        <w:spacing w:after="240"/>
        <w:jc w:val="center"/>
      </w:pPr>
      <w:r w:rsidRPr="00ED6E0A">
        <w:rPr>
          <w:b/>
          <w:bCs/>
          <w:sz w:val="32"/>
          <w:szCs w:val="32"/>
        </w:rPr>
        <w:t>PROTOCOL DE COLABORARE</w:t>
      </w:r>
    </w:p>
    <w:p w14:paraId="79CB0F68" w14:textId="77777777" w:rsidR="00CB67EE" w:rsidRPr="00ED6E0A" w:rsidRDefault="00780BA6">
      <w:pPr>
        <w:spacing w:after="120"/>
        <w:jc w:val="both"/>
      </w:pPr>
      <w:r w:rsidRPr="00ED6E0A">
        <w:rPr>
          <w:i/>
          <w:iCs/>
          <w:sz w:val="22"/>
          <w:szCs w:val="22"/>
        </w:rPr>
        <w:t>Anexa nr. 1 la Regulamentul de organizare și funcționare a Comisiei de acord unic a Municipiului Timișoara</w:t>
      </w:r>
    </w:p>
    <w:p w14:paraId="79CB0F69" w14:textId="77777777" w:rsidR="00CB67EE" w:rsidRPr="00ED6E0A" w:rsidRDefault="00780BA6">
      <w:pPr>
        <w:pStyle w:val="Heading1"/>
        <w:spacing w:before="360" w:after="180"/>
        <w:jc w:val="center"/>
        <w:rPr>
          <w:color w:val="auto"/>
        </w:rPr>
      </w:pPr>
      <w:r w:rsidRPr="00ED6E0A">
        <w:rPr>
          <w:b/>
          <w:bCs/>
          <w:color w:val="auto"/>
          <w:sz w:val="26"/>
          <w:szCs w:val="26"/>
        </w:rPr>
        <w:t>PĂRȚILE</w:t>
      </w:r>
    </w:p>
    <w:p w14:paraId="79CB0F6A" w14:textId="77777777" w:rsidR="00CB67EE" w:rsidRPr="00ED6E0A" w:rsidRDefault="00780BA6">
      <w:pPr>
        <w:spacing w:after="120"/>
        <w:jc w:val="both"/>
      </w:pPr>
      <w:r w:rsidRPr="00ED6E0A">
        <w:rPr>
          <w:b/>
          <w:bCs/>
        </w:rPr>
        <w:t>MUNICIPIUL TIMIȘOARA</w:t>
      </w:r>
      <w:r w:rsidRPr="00ED6E0A">
        <w:t>, cu sediul în Timișoara, bd. C.D. Loga nr. 1, județul Timiș, cod de identificare fiscală ______, reprezentat prin Primar, ______________,</w:t>
      </w:r>
    </w:p>
    <w:p w14:paraId="79CB0F6B" w14:textId="77777777" w:rsidR="00CB67EE" w:rsidRPr="00ED6E0A" w:rsidRDefault="00780BA6">
      <w:pPr>
        <w:spacing w:after="120"/>
        <w:jc w:val="both"/>
      </w:pPr>
      <w:r w:rsidRPr="00ED6E0A">
        <w:t>și</w:t>
      </w:r>
    </w:p>
    <w:p w14:paraId="79CB0F6C" w14:textId="77777777" w:rsidR="00CB67EE" w:rsidRPr="00ED6E0A" w:rsidRDefault="00780BA6">
      <w:pPr>
        <w:spacing w:after="120"/>
        <w:jc w:val="both"/>
      </w:pPr>
      <w:r w:rsidRPr="00ED6E0A">
        <w:rPr>
          <w:b/>
          <w:bCs/>
        </w:rPr>
        <w:t>______________________________</w:t>
      </w:r>
      <w:r w:rsidRPr="00ED6E0A">
        <w:t>, cu sediul în ______________, cod de identificare fiscală ______, reprezentat prin ______________, în calitate de entitate avizatoare,</w:t>
      </w:r>
    </w:p>
    <w:p w14:paraId="79CB0F6D" w14:textId="77777777" w:rsidR="00CB67EE" w:rsidRPr="00ED6E0A" w:rsidRDefault="00780BA6">
      <w:pPr>
        <w:spacing w:after="120"/>
        <w:jc w:val="both"/>
      </w:pPr>
      <w:r w:rsidRPr="00ED6E0A">
        <w:t xml:space="preserve">denumite în continuare </w:t>
      </w:r>
      <w:r w:rsidRPr="00ED6E0A">
        <w:rPr>
          <w:b/>
          <w:bCs/>
        </w:rPr>
        <w:t>părțile</w:t>
      </w:r>
      <w:r w:rsidRPr="00ED6E0A">
        <w:t>, au convenit încheierea prezentului protocol.</w:t>
      </w:r>
    </w:p>
    <w:p w14:paraId="79CB0F6E" w14:textId="77777777" w:rsidR="00CB67EE" w:rsidRPr="00ED6E0A" w:rsidRDefault="00780BA6">
      <w:pPr>
        <w:pStyle w:val="Heading3"/>
        <w:spacing w:before="240" w:after="60"/>
        <w:rPr>
          <w:color w:val="auto"/>
        </w:rPr>
      </w:pPr>
      <w:r w:rsidRPr="00ED6E0A">
        <w:rPr>
          <w:b/>
          <w:bCs/>
          <w:color w:val="auto"/>
        </w:rPr>
        <w:t>Art. 1 — Obiectul protocolului</w:t>
      </w:r>
    </w:p>
    <w:p w14:paraId="79CB0F6F" w14:textId="77777777" w:rsidR="00CB67EE" w:rsidRPr="00ED6E0A" w:rsidRDefault="00780BA6">
      <w:pPr>
        <w:spacing w:after="120"/>
        <w:jc w:val="both"/>
      </w:pPr>
      <w:r w:rsidRPr="00ED6E0A">
        <w:t xml:space="preserve">(1) Obiectul protocolului îl constituie cooperarea părților în vederea emiterii avizelor și acordurilor prin Comisia de acord unic a Municipiului Timișoara, denumită în continuare comisia (art. 307 alin. (1) din </w:t>
      </w:r>
      <w:r w:rsidRPr="00ED6E0A">
        <w:rPr>
          <w:i/>
          <w:iCs/>
        </w:rPr>
        <w:t>Legea nr. 169/2026 privind Codul amenajării teritoriului, urbanismului și construcțiilor</w:t>
      </w:r>
      <w:r w:rsidRPr="00ED6E0A">
        <w:t>, denumită în continuare Codul).</w:t>
      </w:r>
    </w:p>
    <w:p w14:paraId="79CB0F70" w14:textId="77777777" w:rsidR="00CB67EE" w:rsidRPr="00ED6E0A" w:rsidRDefault="00780BA6">
      <w:pPr>
        <w:spacing w:after="120"/>
        <w:jc w:val="both"/>
      </w:pPr>
      <w:r w:rsidRPr="00ED6E0A">
        <w:t>(2) Organizarea și funcționarea comisiei sunt cele stabilite prin Regulamentul aprobat prin Hotărârea Consiliului Local al Municipiului Timișoara nr. ___/2026, denumit în continuare regulament</w:t>
      </w:r>
      <w:r w:rsidRPr="00ED6E0A">
        <w:t>u</w:t>
      </w:r>
      <w:r w:rsidRPr="00ED6E0A">
        <w:t>l</w:t>
      </w:r>
      <w:r w:rsidRPr="00ED6E0A">
        <w:t>, ale cărui prevederi părțile le acceptă.</w:t>
      </w:r>
    </w:p>
    <w:p w14:paraId="79CB0F71" w14:textId="77777777" w:rsidR="00CB67EE" w:rsidRPr="00ED6E0A" w:rsidRDefault="00780BA6">
      <w:pPr>
        <w:spacing w:after="120"/>
        <w:jc w:val="both"/>
      </w:pPr>
      <w:r w:rsidRPr="00ED6E0A">
        <w:t>(3) Entitatea avizatoare emite, prin comisie, avizul sau acordul prevăzut la ______________.</w:t>
      </w:r>
    </w:p>
    <w:p w14:paraId="79CB0F72" w14:textId="77777777" w:rsidR="00CB67EE" w:rsidRPr="00ED6E0A" w:rsidRDefault="00780BA6">
      <w:pPr>
        <w:pStyle w:val="Heading3"/>
        <w:spacing w:before="240" w:after="60"/>
        <w:rPr>
          <w:color w:val="auto"/>
        </w:rPr>
      </w:pPr>
      <w:r w:rsidRPr="00ED6E0A">
        <w:rPr>
          <w:b/>
          <w:bCs/>
          <w:color w:val="auto"/>
        </w:rPr>
        <w:t>Art. 2 — Reprezentarea în comisie</w:t>
      </w:r>
    </w:p>
    <w:p w14:paraId="79CB0F73" w14:textId="77777777" w:rsidR="00CB67EE" w:rsidRPr="00ED6E0A" w:rsidRDefault="00780BA6">
      <w:pPr>
        <w:spacing w:after="120"/>
        <w:jc w:val="both"/>
      </w:pPr>
      <w:r w:rsidRPr="00ED6E0A">
        <w:t>(1) Entitatea avizatoare desemnează un reprezentant titular și un reprezentant supleant în comisie și comunică Municipiului Timișoara datele acestora.</w:t>
      </w:r>
    </w:p>
    <w:p w14:paraId="79CB0F74" w14:textId="77777777" w:rsidR="00CB67EE" w:rsidRPr="00ED6E0A" w:rsidRDefault="00780BA6">
      <w:pPr>
        <w:spacing w:after="120"/>
        <w:jc w:val="both"/>
      </w:pPr>
      <w:r w:rsidRPr="00ED6E0A">
        <w:t>(2) Orice modificare privind reprezentanții desemnați se comunică Municipiului Timișoara în cel mai scurt timp de la producerea acesteia.</w:t>
      </w:r>
    </w:p>
    <w:p w14:paraId="79CB0F75" w14:textId="77777777" w:rsidR="00CB67EE" w:rsidRPr="00ED6E0A" w:rsidRDefault="00780BA6">
      <w:pPr>
        <w:spacing w:after="120"/>
        <w:jc w:val="both"/>
      </w:pPr>
      <w:r w:rsidRPr="00ED6E0A">
        <w:t>(3) Persoanele împuternicite să semneze avizele și acordurile dețin semnătură electronică calificată, obținută în condițiile Ordonanței de urgență a Guvernului nr. 140/2020, aprobată prin Legea nr. 255/2020.</w:t>
      </w:r>
    </w:p>
    <w:p w14:paraId="79CB0F76" w14:textId="77777777" w:rsidR="00CB67EE" w:rsidRPr="00ED6E0A" w:rsidRDefault="00780BA6">
      <w:pPr>
        <w:pStyle w:val="Heading3"/>
        <w:spacing w:before="240" w:after="60"/>
        <w:rPr>
          <w:color w:val="auto"/>
        </w:rPr>
      </w:pPr>
      <w:r w:rsidRPr="00ED6E0A">
        <w:rPr>
          <w:b/>
          <w:bCs/>
          <w:color w:val="auto"/>
        </w:rPr>
        <w:t>Art. 3 — Obligațiile entității avizatoare</w:t>
      </w:r>
    </w:p>
    <w:p w14:paraId="79CB0F77" w14:textId="77777777" w:rsidR="00CB67EE" w:rsidRPr="00ED6E0A" w:rsidRDefault="00780BA6">
      <w:pPr>
        <w:spacing w:after="120"/>
        <w:jc w:val="both"/>
      </w:pPr>
      <w:r w:rsidRPr="00ED6E0A">
        <w:t>Entitatea avizatoare se obligă:</w:t>
      </w:r>
    </w:p>
    <w:p w14:paraId="79CB0F78" w14:textId="77777777" w:rsidR="00CB67EE" w:rsidRPr="00ED6E0A" w:rsidRDefault="00780BA6">
      <w:pPr>
        <w:spacing w:after="100"/>
        <w:ind w:left="720"/>
        <w:jc w:val="both"/>
      </w:pPr>
      <w:r w:rsidRPr="00ED6E0A">
        <w:t>a) să stabilească și să publice pe pagina proprie de internet conținutul-cadru al documentației specifice necesare emiterii avizului sau acordului, precum și modul de calcul al taxelor și tarifelor, și să le pună la dispoziția Municipiului Timișoara (art. 316 alin. (1) lit. a) din Cod);</w:t>
      </w:r>
    </w:p>
    <w:p w14:paraId="79CB0F79" w14:textId="77777777" w:rsidR="00CB67EE" w:rsidRPr="00ED6E0A" w:rsidRDefault="00780BA6">
      <w:pPr>
        <w:spacing w:after="100"/>
        <w:ind w:left="720"/>
        <w:jc w:val="both"/>
      </w:pPr>
      <w:r w:rsidRPr="00ED6E0A">
        <w:t>b) să comunice Municipiului Timișoara orice modificare a informațiilor prevăzute la lit. a), în cel mult 5 zile lucrătoare de la producerea acesteia;</w:t>
      </w:r>
    </w:p>
    <w:p w14:paraId="79CB0F7A" w14:textId="77777777" w:rsidR="00CB67EE" w:rsidRPr="00ED6E0A" w:rsidRDefault="00780BA6">
      <w:pPr>
        <w:spacing w:after="100"/>
        <w:ind w:left="720"/>
        <w:jc w:val="both"/>
      </w:pPr>
      <w:r w:rsidRPr="00ED6E0A">
        <w:t>c) să notifice solicitantul cu privire la piesele care lipsesc din documentația tehnică, o singură dată, în cel mult 5 zile lucrătoare de la primirea documentației;</w:t>
      </w:r>
    </w:p>
    <w:p w14:paraId="79CB0F7B" w14:textId="77777777" w:rsidR="00CB67EE" w:rsidRPr="00ED6E0A" w:rsidRDefault="00780BA6">
      <w:pPr>
        <w:spacing w:after="100"/>
        <w:ind w:left="720"/>
        <w:jc w:val="both"/>
      </w:pPr>
      <w:r w:rsidRPr="00ED6E0A">
        <w:t>d) să emită avizul sau acordul în termenul prevăzut de regulament și să îl înainteze secretariatului comisiei;</w:t>
      </w:r>
    </w:p>
    <w:p w14:paraId="79CB0F7C" w14:textId="77777777" w:rsidR="00CB67EE" w:rsidRPr="00ED6E0A" w:rsidRDefault="00780BA6">
      <w:pPr>
        <w:spacing w:after="100"/>
        <w:ind w:left="720"/>
        <w:jc w:val="both"/>
      </w:pPr>
      <w:r w:rsidRPr="00ED6E0A">
        <w:t>e) să transmită secretariatului comisiei solicitările de clarificare, completare sau modificare a documentației, potrivit regulamentului;</w:t>
      </w:r>
    </w:p>
    <w:p w14:paraId="79CB0F7D" w14:textId="77777777" w:rsidR="00CB67EE" w:rsidRPr="00ED6E0A" w:rsidRDefault="00780BA6">
      <w:pPr>
        <w:spacing w:after="100"/>
        <w:ind w:left="720"/>
        <w:jc w:val="both"/>
      </w:pPr>
      <w:r w:rsidRPr="00ED6E0A">
        <w:lastRenderedPageBreak/>
        <w:t>f) să comunice secretariatului comisiei, în termen de 3 zile lucrătoare de la primirea unei solicitări formulate de o altă entitate avizatoare, dacă aceasta influențează condițiile tehnice impuse prin avizul propriu;</w:t>
      </w:r>
    </w:p>
    <w:p w14:paraId="79CB0F7E" w14:textId="77777777" w:rsidR="00CB67EE" w:rsidRPr="00ED6E0A" w:rsidRDefault="00780BA6">
      <w:pPr>
        <w:spacing w:after="100"/>
        <w:ind w:left="720"/>
        <w:jc w:val="both"/>
      </w:pPr>
      <w:r w:rsidRPr="00ED6E0A">
        <w:t>g) să participe, prin reprezentantul titular sau supleant, la reuniunile de lucru ale comisiei la care este convocată;</w:t>
      </w:r>
    </w:p>
    <w:p w14:paraId="79CB0F7F" w14:textId="77777777" w:rsidR="00CB67EE" w:rsidRPr="00ED6E0A" w:rsidRDefault="00780BA6">
      <w:pPr>
        <w:spacing w:after="100"/>
        <w:ind w:left="720"/>
        <w:jc w:val="both"/>
      </w:pPr>
      <w:r w:rsidRPr="00ED6E0A">
        <w:t>h) să nu condiționeze emiterea avizului sau acordului de obținerea prealabilă a altor avize sau acorduri (art. 316 alin. (1) lit. n) din Cod);</w:t>
      </w:r>
    </w:p>
    <w:p w14:paraId="79CB0F80" w14:textId="77777777" w:rsidR="00CB67EE" w:rsidRPr="00ED6E0A" w:rsidRDefault="00780BA6">
      <w:pPr>
        <w:spacing w:after="100"/>
        <w:ind w:left="720"/>
        <w:jc w:val="both"/>
      </w:pPr>
      <w:r w:rsidRPr="00ED6E0A">
        <w:t>i) să nu schimbe responsabilul de dosar pe parcursul procedurii, cu excepțiile prevăzute de Cod (art. 316 alin. (1) lit. m) din Cod).</w:t>
      </w:r>
    </w:p>
    <w:p w14:paraId="79CB0F81" w14:textId="77777777" w:rsidR="00CB67EE" w:rsidRPr="00ED6E0A" w:rsidRDefault="00780BA6">
      <w:pPr>
        <w:pStyle w:val="Heading3"/>
        <w:spacing w:before="240" w:after="60"/>
        <w:rPr>
          <w:color w:val="auto"/>
        </w:rPr>
      </w:pPr>
      <w:r w:rsidRPr="00ED6E0A">
        <w:rPr>
          <w:b/>
          <w:bCs/>
          <w:color w:val="auto"/>
        </w:rPr>
        <w:t>Art. 4 — Obligațiile Municipiului Timișoara</w:t>
      </w:r>
    </w:p>
    <w:p w14:paraId="79CB0F82" w14:textId="77777777" w:rsidR="00CB67EE" w:rsidRPr="00ED6E0A" w:rsidRDefault="00780BA6">
      <w:pPr>
        <w:spacing w:after="120"/>
        <w:jc w:val="both"/>
      </w:pPr>
      <w:r w:rsidRPr="00ED6E0A">
        <w:t>Municipiul Timișoara se obligă:</w:t>
      </w:r>
    </w:p>
    <w:p w14:paraId="79CB0F83" w14:textId="77777777" w:rsidR="00CB67EE" w:rsidRPr="00ED6E0A" w:rsidRDefault="00780BA6">
      <w:pPr>
        <w:spacing w:after="100"/>
        <w:ind w:left="720"/>
        <w:jc w:val="both"/>
      </w:pPr>
      <w:r w:rsidRPr="00ED6E0A">
        <w:t>a) să publice pe pagina proprie de internet informațiile prevăzute la Art. 3 lit. a) și să le actualizeze la primirea comunicărilor prevăzute la Art. 3 lit. b);</w:t>
      </w:r>
    </w:p>
    <w:p w14:paraId="79CB0F84" w14:textId="77777777" w:rsidR="00CB67EE" w:rsidRPr="00ED6E0A" w:rsidRDefault="00780BA6">
      <w:pPr>
        <w:spacing w:after="100"/>
        <w:ind w:left="720"/>
        <w:jc w:val="both"/>
      </w:pPr>
      <w:r w:rsidRPr="00ED6E0A">
        <w:t>b) să transmită documentația, concomitent, tuturor entităților avizatoare, și să comunice solicitantului data transmiterii;</w:t>
      </w:r>
    </w:p>
    <w:p w14:paraId="79CB0F85" w14:textId="77777777" w:rsidR="00CB67EE" w:rsidRPr="00ED6E0A" w:rsidRDefault="00780BA6">
      <w:pPr>
        <w:spacing w:after="100"/>
        <w:ind w:left="720"/>
        <w:jc w:val="both"/>
      </w:pPr>
      <w:r w:rsidRPr="00ED6E0A">
        <w:t>c) să transmită entității avizatoare solicitările formulate de alte entități avizatoare, în vederea consultării prevăzute la Art. 3 lit. f);</w:t>
      </w:r>
    </w:p>
    <w:p w14:paraId="79CB0F86" w14:textId="77777777" w:rsidR="00CB67EE" w:rsidRPr="00ED6E0A" w:rsidRDefault="00780BA6">
      <w:pPr>
        <w:spacing w:after="100"/>
        <w:ind w:left="720"/>
        <w:jc w:val="both"/>
      </w:pPr>
      <w:r w:rsidRPr="00ED6E0A">
        <w:t>d) să comunice entității avizatoare rezultatul analizei de corelare, atunci când condițiile tehnice impuse prin avizul acesteia sunt influențate;</w:t>
      </w:r>
    </w:p>
    <w:p w14:paraId="79CB0F87" w14:textId="77777777" w:rsidR="00CB67EE" w:rsidRPr="00ED6E0A" w:rsidRDefault="00780BA6">
      <w:pPr>
        <w:spacing w:after="100"/>
        <w:ind w:left="720"/>
        <w:jc w:val="both"/>
      </w:pPr>
      <w:r w:rsidRPr="00ED6E0A">
        <w:t>e) să convoace reuniunile de lucru ale comisiei, cu indicarea documentației și a solicitării care fac obiectul analizei.</w:t>
      </w:r>
    </w:p>
    <w:p w14:paraId="79CB0F88" w14:textId="77777777" w:rsidR="00CB67EE" w:rsidRPr="00ED6E0A" w:rsidRDefault="00780BA6">
      <w:pPr>
        <w:pStyle w:val="Heading3"/>
        <w:spacing w:before="240" w:after="60"/>
        <w:rPr>
          <w:color w:val="auto"/>
        </w:rPr>
      </w:pPr>
      <w:r w:rsidRPr="00ED6E0A">
        <w:rPr>
          <w:b/>
          <w:bCs/>
          <w:color w:val="auto"/>
        </w:rPr>
        <w:t>Art. 5 — Modalitățile de comunicare</w:t>
      </w:r>
    </w:p>
    <w:p w14:paraId="79CB0F89" w14:textId="77777777" w:rsidR="00CB67EE" w:rsidRPr="00ED6E0A" w:rsidRDefault="00780BA6">
      <w:pPr>
        <w:spacing w:after="120"/>
        <w:jc w:val="both"/>
      </w:pPr>
      <w:r w:rsidRPr="00ED6E0A">
        <w:t>(1) Documentațiile, solicitările, avizele și celelalte comunicări dintre părți se transmit prin platforma digitală a Municipiului Timișoara sau prin poștă electronică.</w:t>
      </w:r>
    </w:p>
    <w:p w14:paraId="79CB0F8A" w14:textId="77777777" w:rsidR="00CB67EE" w:rsidRPr="00ED6E0A" w:rsidRDefault="00780BA6">
      <w:pPr>
        <w:spacing w:after="120"/>
        <w:jc w:val="both"/>
      </w:pPr>
      <w:r w:rsidRPr="00ED6E0A">
        <w:t xml:space="preserve">(2) De la data la care utilizarea </w:t>
      </w:r>
      <w:r w:rsidRPr="00ED6E0A">
        <w:rPr>
          <w:i/>
          <w:iCs/>
        </w:rPr>
        <w:t>Ghișeului unic național de autorizare a construcțiilor</w:t>
      </w:r>
      <w:r w:rsidRPr="00ED6E0A">
        <w:t xml:space="preserve"> devine aplicabilă, comunicările se realizează prin intermediul acestuia, fără a fi necesară modificarea prezentului protocol.</w:t>
      </w:r>
    </w:p>
    <w:p w14:paraId="79CB0F8B" w14:textId="77777777" w:rsidR="00CB67EE" w:rsidRPr="00ED6E0A" w:rsidRDefault="00780BA6">
      <w:pPr>
        <w:spacing w:after="120"/>
        <w:jc w:val="both"/>
      </w:pPr>
      <w:r w:rsidRPr="00ED6E0A">
        <w:t>(3) Părțile își comunică reciproc datele de contact utilizate pentru corespondența prevăzută la alin. (1) și orice modificare a acestora.</w:t>
      </w:r>
    </w:p>
    <w:p w14:paraId="79CB0F8C" w14:textId="77777777" w:rsidR="00CB67EE" w:rsidRPr="00ED6E0A" w:rsidRDefault="00780BA6">
      <w:pPr>
        <w:pStyle w:val="Heading3"/>
        <w:spacing w:before="240" w:after="60"/>
        <w:rPr>
          <w:color w:val="auto"/>
        </w:rPr>
      </w:pPr>
      <w:r w:rsidRPr="00ED6E0A">
        <w:rPr>
          <w:b/>
          <w:bCs/>
          <w:color w:val="auto"/>
        </w:rPr>
        <w:t>Art. 6 — Durata, modificarea și încetarea protocolului</w:t>
      </w:r>
    </w:p>
    <w:p w14:paraId="79CB0F8D" w14:textId="77777777" w:rsidR="00CB67EE" w:rsidRPr="00ED6E0A" w:rsidRDefault="00780BA6">
      <w:pPr>
        <w:spacing w:after="120"/>
        <w:jc w:val="both"/>
      </w:pPr>
      <w:r w:rsidRPr="00ED6E0A">
        <w:t>(1) Prezentul protocol se încheie pe durată nedeterminată și intră în vigoare la data semnării de către ambele părți.</w:t>
      </w:r>
    </w:p>
    <w:p w14:paraId="79CB0F8E" w14:textId="77777777" w:rsidR="00CB67EE" w:rsidRPr="00ED6E0A" w:rsidRDefault="00780BA6">
      <w:pPr>
        <w:spacing w:after="120"/>
        <w:jc w:val="both"/>
      </w:pPr>
      <w:r w:rsidRPr="00ED6E0A">
        <w:t>(2) Protocolul se modifică prin act adițional semnat de ambele părți.</w:t>
      </w:r>
    </w:p>
    <w:p w14:paraId="79CB0F8F" w14:textId="77777777" w:rsidR="00CB67EE" w:rsidRPr="00ED6E0A" w:rsidRDefault="00780BA6">
      <w:pPr>
        <w:spacing w:after="120"/>
        <w:jc w:val="both"/>
      </w:pPr>
      <w:r w:rsidRPr="00ED6E0A">
        <w:t>(3) Protocolul încetează prin acordul părților, precum și la data la care entitatea avizatoare încetează să mai fie emitentul avizului sau acordului prevăzut la Art. 1 alin. (3).</w:t>
      </w:r>
    </w:p>
    <w:p w14:paraId="79CB0F90" w14:textId="77777777" w:rsidR="00CB67EE" w:rsidRPr="00ED6E0A" w:rsidRDefault="00780BA6">
      <w:pPr>
        <w:spacing w:after="120"/>
        <w:jc w:val="both"/>
      </w:pPr>
      <w:r w:rsidRPr="00ED6E0A">
        <w:t>(4) Modificarea regulamentului nu atrage încetarea protocolului, prevederile acestuia aplicându-se în forma în vigoare la data producerii efectelor.</w:t>
      </w:r>
    </w:p>
    <w:p w14:paraId="79CB0F91" w14:textId="77777777" w:rsidR="00CB67EE" w:rsidRPr="00ED6E0A" w:rsidRDefault="00780BA6">
      <w:pPr>
        <w:pStyle w:val="Heading3"/>
        <w:spacing w:before="240" w:after="60"/>
        <w:rPr>
          <w:color w:val="auto"/>
        </w:rPr>
      </w:pPr>
      <w:r w:rsidRPr="00ED6E0A">
        <w:rPr>
          <w:b/>
          <w:bCs/>
          <w:color w:val="auto"/>
        </w:rPr>
        <w:t>Art. 7 — Dispoziții finale</w:t>
      </w:r>
    </w:p>
    <w:p w14:paraId="79CB0F92" w14:textId="77777777" w:rsidR="00CB67EE" w:rsidRPr="00ED6E0A" w:rsidRDefault="00780BA6">
      <w:pPr>
        <w:spacing w:after="120"/>
        <w:jc w:val="both"/>
      </w:pPr>
      <w:r w:rsidRPr="00ED6E0A">
        <w:t>(1) Prevederile prezentului protocol se completează cu dispozițiile Codului și ale celorlalte acte normative aplicabile.</w:t>
      </w:r>
    </w:p>
    <w:p w14:paraId="79CB0F93" w14:textId="77777777" w:rsidR="00CB67EE" w:rsidRPr="00ED6E0A" w:rsidRDefault="00780BA6">
      <w:pPr>
        <w:spacing w:after="120"/>
        <w:jc w:val="both"/>
      </w:pPr>
      <w:r w:rsidRPr="00ED6E0A">
        <w:t>(2) Litigiile decurgând din aplicarea sau interpretarea prezentului protocol se soluționează pe cale amiabilă, iar în lipsa unei soluții, de instanțele judecătorești competente.</w:t>
      </w:r>
    </w:p>
    <w:p w14:paraId="79CB0F94" w14:textId="77777777" w:rsidR="00CB67EE" w:rsidRPr="00ED6E0A" w:rsidRDefault="00780BA6">
      <w:pPr>
        <w:spacing w:after="120"/>
        <w:jc w:val="both"/>
      </w:pPr>
      <w:r w:rsidRPr="00ED6E0A">
        <w:lastRenderedPageBreak/>
        <w:t>(3) Prezentul protocol conține 7 articole și a fost încheiat astăzi, ______________, în două exemplare, câte unul pentru fiecare parte, având aceeași valoare juridică.</w:t>
      </w:r>
    </w:p>
    <w:p w14:paraId="10FD4D72" w14:textId="77777777" w:rsidR="009C450E" w:rsidRPr="00ED6E0A" w:rsidRDefault="009C450E">
      <w:pPr>
        <w:spacing w:after="120"/>
        <w:jc w:val="both"/>
      </w:pPr>
    </w:p>
    <w:tbl>
      <w:tblPr>
        <w:tblW w:w="100" w:type="auto"/>
        <w:tblCellMar>
          <w:left w:w="10" w:type="dxa"/>
          <w:right w:w="10" w:type="dxa"/>
        </w:tblCellMar>
        <w:tblLook w:val="04A0" w:firstRow="1" w:lastRow="0" w:firstColumn="1" w:lastColumn="0" w:noHBand="0" w:noVBand="1"/>
      </w:tblPr>
      <w:tblGrid>
        <w:gridCol w:w="4680"/>
        <w:gridCol w:w="4680"/>
      </w:tblGrid>
      <w:tr w:rsidR="00CB67EE" w:rsidRPr="00ED6E0A" w14:paraId="79CB0F97" w14:textId="77777777" w:rsidTr="009C450E">
        <w:tblPrEx>
          <w:tblCellMar>
            <w:top w:w="0" w:type="dxa"/>
            <w:bottom w:w="0" w:type="dxa"/>
          </w:tblCellMar>
        </w:tblPrEx>
        <w:tc>
          <w:tcPr>
            <w:tcW w:w="4680" w:type="dxa"/>
          </w:tcPr>
          <w:p w14:paraId="79CB0F95" w14:textId="77777777" w:rsidR="00CB67EE" w:rsidRPr="00ED6E0A" w:rsidRDefault="00780BA6">
            <w:pPr>
              <w:jc w:val="center"/>
            </w:pPr>
            <w:r w:rsidRPr="00ED6E0A">
              <w:rPr>
                <w:b/>
                <w:bCs/>
              </w:rPr>
              <w:t>MUNICIPIUL TIMIȘOARA</w:t>
            </w:r>
          </w:p>
        </w:tc>
        <w:tc>
          <w:tcPr>
            <w:tcW w:w="4680" w:type="dxa"/>
          </w:tcPr>
          <w:p w14:paraId="79CB0F96" w14:textId="77777777" w:rsidR="00CB67EE" w:rsidRPr="00ED6E0A" w:rsidRDefault="00780BA6">
            <w:pPr>
              <w:jc w:val="center"/>
            </w:pPr>
            <w:r w:rsidRPr="00ED6E0A">
              <w:rPr>
                <w:b/>
                <w:bCs/>
              </w:rPr>
              <w:t>ENTITATEA AVIZATOARE</w:t>
            </w:r>
          </w:p>
        </w:tc>
      </w:tr>
      <w:tr w:rsidR="00CB67EE" w:rsidRPr="00ED6E0A" w14:paraId="79CB0F9A" w14:textId="77777777" w:rsidTr="009C450E">
        <w:tblPrEx>
          <w:tblCellMar>
            <w:top w:w="0" w:type="dxa"/>
            <w:bottom w:w="0" w:type="dxa"/>
          </w:tblCellMar>
        </w:tblPrEx>
        <w:tc>
          <w:tcPr>
            <w:tcW w:w="4680" w:type="dxa"/>
          </w:tcPr>
          <w:p w14:paraId="79CB0F98" w14:textId="77777777" w:rsidR="00CB67EE" w:rsidRPr="00ED6E0A" w:rsidRDefault="00780BA6">
            <w:pPr>
              <w:jc w:val="center"/>
            </w:pPr>
            <w:r w:rsidRPr="00ED6E0A">
              <w:t>Primar</w:t>
            </w:r>
          </w:p>
        </w:tc>
        <w:tc>
          <w:tcPr>
            <w:tcW w:w="4680" w:type="dxa"/>
          </w:tcPr>
          <w:p w14:paraId="79CB0F99" w14:textId="77777777" w:rsidR="00CB67EE" w:rsidRPr="00ED6E0A" w:rsidRDefault="00780BA6">
            <w:pPr>
              <w:jc w:val="center"/>
            </w:pPr>
            <w:r w:rsidRPr="00ED6E0A">
              <w:t>Reprezentant legal</w:t>
            </w:r>
          </w:p>
        </w:tc>
      </w:tr>
      <w:tr w:rsidR="00CB67EE" w:rsidRPr="00ED6E0A" w14:paraId="79CB0F9D" w14:textId="77777777" w:rsidTr="009C450E">
        <w:tblPrEx>
          <w:tblCellMar>
            <w:top w:w="0" w:type="dxa"/>
            <w:bottom w:w="0" w:type="dxa"/>
          </w:tblCellMar>
        </w:tblPrEx>
        <w:tc>
          <w:tcPr>
            <w:tcW w:w="4680" w:type="dxa"/>
          </w:tcPr>
          <w:p w14:paraId="79CB0F9B" w14:textId="77777777" w:rsidR="00CB67EE" w:rsidRPr="00ED6E0A" w:rsidRDefault="00780BA6">
            <w:pPr>
              <w:jc w:val="center"/>
            </w:pPr>
            <w:r w:rsidRPr="00ED6E0A">
              <w:t>________________________</w:t>
            </w:r>
          </w:p>
        </w:tc>
        <w:tc>
          <w:tcPr>
            <w:tcW w:w="4680" w:type="dxa"/>
          </w:tcPr>
          <w:p w14:paraId="79CB0F9C" w14:textId="77777777" w:rsidR="00CB67EE" w:rsidRPr="00ED6E0A" w:rsidRDefault="00780BA6">
            <w:pPr>
              <w:jc w:val="center"/>
            </w:pPr>
            <w:r w:rsidRPr="00ED6E0A">
              <w:t>________________________</w:t>
            </w:r>
          </w:p>
        </w:tc>
      </w:tr>
    </w:tbl>
    <w:p w14:paraId="79CB0F9E" w14:textId="77777777" w:rsidR="00780BA6" w:rsidRPr="00ED6E0A" w:rsidRDefault="00780BA6"/>
    <w:sectPr w:rsidR="00780BA6" w:rsidRPr="00ED6E0A">
      <w:footerReference w:type="default" r:id="rId7"/>
      <w:pgSz w:w="11906" w:h="16838"/>
      <w:pgMar w:top="1134" w:right="992"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A5B51" w14:textId="77777777" w:rsidR="00780BA6" w:rsidRDefault="00780BA6">
      <w:r>
        <w:separator/>
      </w:r>
    </w:p>
  </w:endnote>
  <w:endnote w:type="continuationSeparator" w:id="0">
    <w:p w14:paraId="63432E8E" w14:textId="77777777" w:rsidR="00780BA6" w:rsidRDefault="0078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B0F9E" w14:textId="37E24AF5" w:rsidR="00CB67EE" w:rsidRDefault="00780BA6">
    <w:pPr>
      <w:jc w:val="center"/>
    </w:pPr>
    <w:r>
      <w:rPr>
        <w:sz w:val="20"/>
        <w:szCs w:val="20"/>
      </w:rPr>
      <w:fldChar w:fldCharType="begin"/>
    </w:r>
    <w:r>
      <w:rPr>
        <w:sz w:val="20"/>
        <w:szCs w:val="20"/>
      </w:rPr>
      <w:instrText>PAGE</w:instrText>
    </w:r>
    <w:r>
      <w:rPr>
        <w:sz w:val="20"/>
        <w:szCs w:val="20"/>
      </w:rPr>
      <w:fldChar w:fldCharType="separate"/>
    </w:r>
    <w:r w:rsidR="00942BF3">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16C3" w14:textId="77777777" w:rsidR="00780BA6" w:rsidRDefault="00780BA6">
      <w:r>
        <w:separator/>
      </w:r>
    </w:p>
  </w:footnote>
  <w:footnote w:type="continuationSeparator" w:id="0">
    <w:p w14:paraId="4794CBA5" w14:textId="77777777" w:rsidR="00780BA6" w:rsidRDefault="00780B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968C1"/>
    <w:multiLevelType w:val="hybridMultilevel"/>
    <w:tmpl w:val="B67C5876"/>
    <w:lvl w:ilvl="0" w:tplc="1BF4CC90">
      <w:start w:val="1"/>
      <w:numFmt w:val="bullet"/>
      <w:lvlText w:val="●"/>
      <w:lvlJc w:val="left"/>
      <w:pPr>
        <w:ind w:left="720" w:hanging="360"/>
      </w:pPr>
    </w:lvl>
    <w:lvl w:ilvl="1" w:tplc="5BD0B6AE">
      <w:start w:val="1"/>
      <w:numFmt w:val="bullet"/>
      <w:lvlText w:val="○"/>
      <w:lvlJc w:val="left"/>
      <w:pPr>
        <w:ind w:left="1440" w:hanging="360"/>
      </w:pPr>
    </w:lvl>
    <w:lvl w:ilvl="2" w:tplc="D14495BA">
      <w:start w:val="1"/>
      <w:numFmt w:val="bullet"/>
      <w:lvlText w:val="■"/>
      <w:lvlJc w:val="left"/>
      <w:pPr>
        <w:ind w:left="2160" w:hanging="360"/>
      </w:pPr>
    </w:lvl>
    <w:lvl w:ilvl="3" w:tplc="748809F8">
      <w:start w:val="1"/>
      <w:numFmt w:val="bullet"/>
      <w:lvlText w:val="●"/>
      <w:lvlJc w:val="left"/>
      <w:pPr>
        <w:ind w:left="2880" w:hanging="360"/>
      </w:pPr>
    </w:lvl>
    <w:lvl w:ilvl="4" w:tplc="E1F06326">
      <w:start w:val="1"/>
      <w:numFmt w:val="bullet"/>
      <w:lvlText w:val="○"/>
      <w:lvlJc w:val="left"/>
      <w:pPr>
        <w:ind w:left="3600" w:hanging="360"/>
      </w:pPr>
    </w:lvl>
    <w:lvl w:ilvl="5" w:tplc="FE0216C4">
      <w:start w:val="1"/>
      <w:numFmt w:val="bullet"/>
      <w:lvlText w:val="■"/>
      <w:lvlJc w:val="left"/>
      <w:pPr>
        <w:ind w:left="4320" w:hanging="360"/>
      </w:pPr>
    </w:lvl>
    <w:lvl w:ilvl="6" w:tplc="B3B221C2">
      <w:start w:val="1"/>
      <w:numFmt w:val="bullet"/>
      <w:lvlText w:val="●"/>
      <w:lvlJc w:val="left"/>
      <w:pPr>
        <w:ind w:left="5040" w:hanging="360"/>
      </w:pPr>
    </w:lvl>
    <w:lvl w:ilvl="7" w:tplc="88D4B11A">
      <w:start w:val="1"/>
      <w:numFmt w:val="bullet"/>
      <w:lvlText w:val="●"/>
      <w:lvlJc w:val="left"/>
      <w:pPr>
        <w:ind w:left="5760" w:hanging="360"/>
      </w:pPr>
    </w:lvl>
    <w:lvl w:ilvl="8" w:tplc="A1607B8E">
      <w:start w:val="1"/>
      <w:numFmt w:val="bullet"/>
      <w:lvlText w:val="●"/>
      <w:lvlJc w:val="left"/>
      <w:pPr>
        <w:ind w:left="6480" w:hanging="360"/>
      </w:pPr>
    </w:lvl>
  </w:abstractNum>
  <w:num w:numId="1" w16cid:durableId="9302856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7EE"/>
    <w:rsid w:val="00780BA6"/>
    <w:rsid w:val="00942BF3"/>
    <w:rsid w:val="009C450E"/>
    <w:rsid w:val="00CB67EE"/>
    <w:rsid w:val="00CD32AE"/>
    <w:rsid w:val="00E6595B"/>
    <w:rsid w:val="00ED6E0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B0F67"/>
  <w15:docId w15:val="{A392456A-D43F-4ADE-8BCC-767A3B4C5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855</Words>
  <Characters>4965</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Roxana PATRULESCU</cp:lastModifiedBy>
  <cp:revision>5</cp:revision>
  <dcterms:created xsi:type="dcterms:W3CDTF">2026-08-20T06:37:00Z</dcterms:created>
  <dcterms:modified xsi:type="dcterms:W3CDTF">2026-08-20T10:47:00Z</dcterms:modified>
</cp:coreProperties>
</file>