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0E5C" w14:textId="77777777" w:rsidR="000B345B" w:rsidRPr="000B345B" w:rsidRDefault="000B345B" w:rsidP="000B345B">
      <w:pPr>
        <w:rPr>
          <w:b/>
          <w:bCs/>
        </w:rPr>
      </w:pPr>
      <w:r w:rsidRPr="000B345B">
        <w:rPr>
          <w:b/>
          <w:bCs/>
        </w:rPr>
        <w:t>MUNICIPIUL TIMIŞOARA</w:t>
      </w:r>
    </w:p>
    <w:p w14:paraId="6EE78ED9" w14:textId="2D44C051" w:rsidR="000B345B" w:rsidRPr="000B345B" w:rsidRDefault="000B345B" w:rsidP="000B345B">
      <w:pPr>
        <w:jc w:val="right"/>
      </w:pPr>
      <w:r w:rsidRPr="000B345B">
        <w:rPr>
          <w:b/>
          <w:bCs/>
        </w:rPr>
        <w:t xml:space="preserve">ANEXĂ NR. 2 la HCL NR. </w:t>
      </w:r>
    </w:p>
    <w:p w14:paraId="44601A36" w14:textId="77777777" w:rsidR="000B345B" w:rsidRPr="000B345B" w:rsidRDefault="000B345B" w:rsidP="000B345B">
      <w:pPr>
        <w:jc w:val="center"/>
        <w:rPr>
          <w:b/>
          <w:bCs/>
        </w:rPr>
      </w:pPr>
      <w:r w:rsidRPr="000B345B">
        <w:rPr>
          <w:b/>
          <w:bCs/>
        </w:rPr>
        <w:t>CONTRACT DE ADMINISTRARE</w:t>
      </w:r>
    </w:p>
    <w:p w14:paraId="35DA5B5D" w14:textId="5D8C6369" w:rsidR="000B345B" w:rsidRPr="000B345B" w:rsidRDefault="000B345B" w:rsidP="000B345B">
      <w:pPr>
        <w:jc w:val="center"/>
        <w:rPr>
          <w:b/>
          <w:bCs/>
        </w:rPr>
      </w:pPr>
      <w:r w:rsidRPr="000B345B">
        <w:rPr>
          <w:b/>
          <w:bCs/>
        </w:rPr>
        <w:t xml:space="preserve">NR. </w:t>
      </w:r>
      <w:r>
        <w:rPr>
          <w:b/>
          <w:bCs/>
        </w:rPr>
        <w:t xml:space="preserve">   </w:t>
      </w:r>
      <w:r w:rsidRPr="000B345B">
        <w:rPr>
          <w:b/>
          <w:bCs/>
        </w:rPr>
        <w:t xml:space="preserve">din </w:t>
      </w:r>
      <w:r>
        <w:rPr>
          <w:b/>
          <w:bCs/>
        </w:rPr>
        <w:t xml:space="preserve"> </w:t>
      </w:r>
    </w:p>
    <w:p w14:paraId="36240B81"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I. PĂRŢILE CONTRACTANTE</w:t>
      </w:r>
    </w:p>
    <w:p w14:paraId="4B9E45EB" w14:textId="77777777" w:rsid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 xml:space="preserve">1.1. MUNICIPIUL TIMIŞOARA, cu sediul în Timișoara, Bd. C. D. Loga nr. 1, cod fiscal RO 14756536, tel. 0256/408300, fax 0256/204177, reprezentat prin Primar - DOMINIC FRITZ, în calitate de PROPRIETAR, </w:t>
      </w:r>
    </w:p>
    <w:p w14:paraId="1FDA247D" w14:textId="11ED2B34"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și ADMINISTRAȚIA PENTRU SĂNĂTATE ȘI EDUCAȚIE A MUNICIPIULUI TIMIȘOARA (ASEMT), cu sediul în Timișoara, Bulevardul Mihai Eminescu nr. 2B, et. 1, reprezentată prin Director General - FLORENTINA RADU, în calitate de ADMINISTRATOR.</w:t>
      </w:r>
    </w:p>
    <w:p w14:paraId="0EB693F9"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II. BAZA LEGALĂ</w:t>
      </w:r>
    </w:p>
    <w:p w14:paraId="38D0AEFD" w14:textId="77777777" w:rsid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 xml:space="preserve">2.1. Baza legală a încheierii prezentului contract este: a) Hotărârea Consiliului Local al Municipiului Timișoara nr. ____________; </w:t>
      </w:r>
    </w:p>
    <w:p w14:paraId="01A7A5C6" w14:textId="77777777" w:rsid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 xml:space="preserve">b) Ordonanța de Urgență a Guvernului nr. 57/2019 privind Codul administrativ; </w:t>
      </w:r>
    </w:p>
    <w:p w14:paraId="0D5772A7" w14:textId="38D5EB10"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c) Articolele 867, 868, 869 și 870 din Codul Civil.</w:t>
      </w:r>
    </w:p>
    <w:p w14:paraId="6ED6372C"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III. OBIECTUL CONTRACTULUI</w:t>
      </w:r>
    </w:p>
    <w:p w14:paraId="2B0F9044"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3.1. Obiectul prezentului contract îl constituie transmiterea dreptului de administrare asupra imobilelor aparținând domeniului public al Municipiului Timișoara, situate în cartiere de locuințe colective, identificate prin datele de carte funciară, număr de inventar și valoare de inventar conform Anexei nr. 1 la hotărâre, care face parte integrantă din prezentul contract.</w:t>
      </w:r>
    </w:p>
    <w:p w14:paraId="0F1E4F28"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IV. DESTINAŢIA SPAŢIILOR DATE ÎN ADMINISTRARE</w:t>
      </w:r>
    </w:p>
    <w:p w14:paraId="18CF6BD4"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4.1. Destinația imobilelor transmise în administrare este exclusivă pentru realizarea obiectivelor instituționale ale ASEMT, constând în reconversia și amenajarea acestora ca spații destinate unor activități medicale de tip ambulatoriu de specialitate ale unităților sanitare publice din subordinea Consiliului Local, precum și pentru organizarea de centre educaționale sau alte spații cu destinație educativă destinate comunității.</w:t>
      </w:r>
    </w:p>
    <w:p w14:paraId="686863A1"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V. DURATA CONTRACTULUI</w:t>
      </w:r>
    </w:p>
    <w:p w14:paraId="07C2F980"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lastRenderedPageBreak/>
        <w:t>5.1. Prezentul contract se încheie pe o perioadă determinată de 10 ani, începând cu data de .......................... și până la data de ...................................... 5.2. Prin acordul scris al părţilor, prezentul contract poate să înceteze şi înainte de termen. 5.3. Orice modificare a clauzelor prezentului contract sau eventuala prelungire a acestuia la expirarea termenului de 10 ani se face prin acordul părţilor, exclusiv prin încheierea unui act adiţional în baza unei noi Hotărâri a Consiliului Local.</w:t>
      </w:r>
    </w:p>
    <w:p w14:paraId="5DEA4717"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VI. DREPTURILE ŞI OBLIGAŢIILE PĂRŢILOR</w:t>
      </w:r>
    </w:p>
    <w:p w14:paraId="7FB621E8" w14:textId="77777777" w:rsidR="00715669" w:rsidRPr="00715669" w:rsidRDefault="00715669" w:rsidP="00715669">
      <w:pPr>
        <w:spacing w:before="100" w:beforeAutospacing="1" w:after="100" w:afterAutospacing="1" w:line="276" w:lineRule="auto"/>
        <w:jc w:val="both"/>
        <w:outlineLvl w:val="3"/>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6.1. Drepturile şi obligaţiile proprietarului:</w:t>
      </w:r>
    </w:p>
    <w:p w14:paraId="093FB859" w14:textId="77777777" w:rsidR="00715669" w:rsidRPr="00715669" w:rsidRDefault="00715669" w:rsidP="00715669">
      <w:pPr>
        <w:numPr>
          <w:ilvl w:val="0"/>
          <w:numId w:val="7"/>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să predea administratorului spaţiile atribuite, pe bază de Proces-verbal de predare-primire, în termen de maximum 30 de zile de la data intrării în vigoare a hotărârii;</w:t>
      </w:r>
    </w:p>
    <w:p w14:paraId="6C8FD392" w14:textId="77777777" w:rsidR="00715669" w:rsidRPr="00715669" w:rsidRDefault="00715669" w:rsidP="00715669">
      <w:pPr>
        <w:numPr>
          <w:ilvl w:val="0"/>
          <w:numId w:val="7"/>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să nu-l împiedice pe administrator să folosească spaţiile potrivit destinaţiei lor instituționale stabilite la art. 4.1;</w:t>
      </w:r>
    </w:p>
    <w:p w14:paraId="64B46C71" w14:textId="77777777" w:rsidR="00715669" w:rsidRPr="00715669" w:rsidRDefault="00715669" w:rsidP="00715669">
      <w:pPr>
        <w:numPr>
          <w:ilvl w:val="0"/>
          <w:numId w:val="7"/>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să asigure buna folosire a căilor de acces;</w:t>
      </w:r>
    </w:p>
    <w:p w14:paraId="78B1142C" w14:textId="77777777" w:rsidR="00715669" w:rsidRPr="00715669" w:rsidRDefault="00715669" w:rsidP="00715669">
      <w:pPr>
        <w:numPr>
          <w:ilvl w:val="0"/>
          <w:numId w:val="7"/>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să radieze dreptul de administrare la expirarea perioadei de 10 ani sau în baza actului de revocare a prezentului contract;</w:t>
      </w:r>
    </w:p>
    <w:p w14:paraId="3C5FD61E" w14:textId="77777777" w:rsidR="00715669" w:rsidRPr="00715669" w:rsidRDefault="00715669" w:rsidP="00715669">
      <w:pPr>
        <w:numPr>
          <w:ilvl w:val="0"/>
          <w:numId w:val="7"/>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 xml:space="preserve">Are dreptul să rezilieze contractul în cazul în care administratorul nu-şi respectă obligaţiile prevăzute în prezentul contract; </w:t>
      </w:r>
    </w:p>
    <w:p w14:paraId="43A619BC" w14:textId="77777777" w:rsidR="00715669" w:rsidRPr="00715669" w:rsidRDefault="00715669" w:rsidP="00715669">
      <w:pPr>
        <w:numPr>
          <w:ilvl w:val="0"/>
          <w:numId w:val="7"/>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 xml:space="preserve">Are dreptul să denunţe în mod unilateral contractul de administrare din motive excepţionale legate de interesul naţional sau local; </w:t>
      </w:r>
    </w:p>
    <w:p w14:paraId="56361D28" w14:textId="77777777" w:rsidR="00715669" w:rsidRPr="00715669" w:rsidRDefault="00715669" w:rsidP="00715669">
      <w:pPr>
        <w:numPr>
          <w:ilvl w:val="0"/>
          <w:numId w:val="7"/>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 xml:space="preserve">Are dreptul să modifice în mod unilateral partea reglementară a contractului de administrare, cu notificarea prealabilă a administratorului, din motive excepţionale legate de interesul naţional sau local; </w:t>
      </w:r>
    </w:p>
    <w:p w14:paraId="75097BE4" w14:textId="77777777" w:rsidR="00715669" w:rsidRPr="00715669" w:rsidRDefault="00715669" w:rsidP="00715669">
      <w:pPr>
        <w:numPr>
          <w:ilvl w:val="0"/>
          <w:numId w:val="7"/>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Contravaloarea lucrărilor de investiții, reconversie și modernizare executate asupra imobilelor rămâne în proprietatea Municipiului Timişoara, fiind integrată în valoarea bunurilor imobile, şi nu poate fi revendicată de administrator sub nicio formă.</w:t>
      </w:r>
    </w:p>
    <w:p w14:paraId="07E2DD68" w14:textId="77777777" w:rsidR="00715669" w:rsidRPr="00715669" w:rsidRDefault="00715669" w:rsidP="00715669">
      <w:pPr>
        <w:spacing w:before="100" w:beforeAutospacing="1" w:after="100" w:afterAutospacing="1" w:line="276" w:lineRule="auto"/>
        <w:jc w:val="both"/>
        <w:outlineLvl w:val="3"/>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6.2. Drepturile şi obligaţiile administratorului:</w:t>
      </w:r>
    </w:p>
    <w:p w14:paraId="255490C3"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Foloseşte şi dispune de bunurile aflate în administrare în condiţiile stabilite de lege şi potrivit destinaţiei exclusive prevăzute la punctul 4.1;</w:t>
      </w:r>
    </w:p>
    <w:p w14:paraId="3842423C"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Exercită folosinţa imobilelor în limita cerinţelor impuse de obiectivele instituționale ale ASEMT (activități medicale de tip ambulatoriu și educaționale);</w:t>
      </w:r>
    </w:p>
    <w:p w14:paraId="60F3D6E1"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legală de a solicita înscrierea în evidențele de carte funciară a dreptului de administrare constituit, pe cheltuială proprie;</w:t>
      </w:r>
    </w:p>
    <w:p w14:paraId="058762D6"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să folosească în mod direct, pe riscul şi pe răspunderea sa, spaţiile care fac obiectul prezentului contract şi să se îngrijească de ele întocmai ca un bun proprietar;</w:t>
      </w:r>
    </w:p>
    <w:p w14:paraId="35E77134"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de a asgura paza, protecţia, curățenia şi conservarea bunurilor şi de a suporta toate cheltuielile necesare unei bune funcţionări;</w:t>
      </w:r>
    </w:p>
    <w:p w14:paraId="0AEE99FB"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lastRenderedPageBreak/>
        <w:t>Suportă toate cheltuielile necesare pentru aducerea bunurilor la starea corespunzătoare de folosinţă în cazul degradării acestora ca urmare a utilizării necorespunzătoare sau a neasigurării pazei;</w:t>
      </w:r>
    </w:p>
    <w:p w14:paraId="7E95ED99"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Obţine avizele și autorizațiile de construire necesare fără schimbarea uzului şi interesului public local;</w:t>
      </w:r>
    </w:p>
    <w:p w14:paraId="58C9085B"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să execute în condiţiile legii, lucrările de investiţii, reparaţii și reconversie structurală pe cheltuială proprie;</w:t>
      </w:r>
    </w:p>
    <w:p w14:paraId="33527BFA"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Să obţină toate avizele şi autorizaţiile prevăzute de lege pentru amenajarea spaţiilor, necesare desfşurării activităţilor specifice, şi să suporte toate cheltuielile ce decurg din acestea;</w:t>
      </w:r>
    </w:p>
    <w:p w14:paraId="7E6AF564"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Să organizeze și să efectueze reevaluarea bunurilor în condiţiile legii;</w:t>
      </w:r>
    </w:p>
    <w:p w14:paraId="6854F9C8"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dreptul de a semna procesele-verbale de vecinătate, fără schimbarea regimului juridic al bunurilor, dacă este cazul;</w:t>
      </w:r>
    </w:p>
    <w:p w14:paraId="1EFF629F"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Semnează acordurile de avizare a documentaţiei de carte funciară pentru obţinerea certificatului de atestare a edificării sau modificării construcţiilor, dacă este cazul;</w:t>
      </w:r>
    </w:p>
    <w:p w14:paraId="467735FE"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Obţine avizele pentru lucrări de îmbunătăţire şi menţinere a caracteristicilor tehnice ale bunurilor;</w:t>
      </w:r>
    </w:p>
    <w:p w14:paraId="665F2F02"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să execute lucrări de întreţinere, funcţionare şi reparaţii curente pe cheltuială proprie în toate imobilele primite;</w:t>
      </w:r>
    </w:p>
    <w:p w14:paraId="6C9B427B"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Să întreţină permanent spaţiile interioare şi exterioare;</w:t>
      </w:r>
    </w:p>
    <w:p w14:paraId="1B5251F6"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Să suporte toate costurile legate de igienizarea imobilelor (dezinfecţie, dezinsecţie, deratizare), precum şi cele de natură a conserva clădirile (zugrăveli, tencuieli, reparaţii instalaţii sanitare, termice, electrice şi de orice altă natură);</w:t>
      </w:r>
    </w:p>
    <w:p w14:paraId="401F05C9"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Să suporte lunar plata tuturor utilităţilor în baza contractelor/convenţiilor directe de furnizare a utilităţilor;</w:t>
      </w:r>
    </w:p>
    <w:p w14:paraId="012DCB70"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Să nu depoziteze materiale toxice sau inflamabile şi să ia toate măsurile necesare pentru exploatarea în siguranţă a spaţiilor; managementul deșeurilor medicale se va face conform legii;</w:t>
      </w:r>
    </w:p>
    <w:p w14:paraId="54E22BE0"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Răspunde pentru degradarea bunurilor în timpul folosinţei lor, inclusiv cea cauzată de incendiu, doar dacă nu dovedeşte existența forței majore sau a cazului fortuit;</w:t>
      </w:r>
    </w:p>
    <w:p w14:paraId="03BA2651"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Are obligaţia să obţină autorizaţiile de funcţionare, autorizaţiile sanitare (DSP) și autorizaţiile de securitate la incendiu (ISU) specifice profilului medical și educațional;</w:t>
      </w:r>
    </w:p>
    <w:p w14:paraId="175CAC9F"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Este obligat să respecte condiţiile impuse de natura publică a bunurilor și normele de protecție a mediului;</w:t>
      </w:r>
    </w:p>
    <w:p w14:paraId="59571645"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Este obligat să permită inspecţiile reprezentanţilor proprietarului pentru verificarea stării imobilelor;</w:t>
      </w:r>
    </w:p>
    <w:p w14:paraId="7CFE2BFB"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Este obligat să-l anunţe de îndată pe proprietar despre orice acţiune intentată de un terţ care priveşte proprietatea publică sau posesia spaţiilor;</w:t>
      </w:r>
    </w:p>
    <w:p w14:paraId="3DEA30FF"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Este obligat să restituie bunurile date în administrare la împlinirea termenului de 10 ani stipulat în prezentul contract;</w:t>
      </w:r>
    </w:p>
    <w:p w14:paraId="5C66875E"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La încetarea contractului, administratorul este obligat să pună la dispoziţia proprietarului bunurile primite în starea în care acestea se găsesc, fără a putea pretinde despăgubiri pentru modernizările efectuate;</w:t>
      </w:r>
    </w:p>
    <w:p w14:paraId="64640E18"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lastRenderedPageBreak/>
        <w:t>La încetarea contractului prin ajungere la termen, administratorul este obligat să restituie proprietarului bunurile în mod gratuit şi libere de orice sarcini;</w:t>
      </w:r>
    </w:p>
    <w:p w14:paraId="6D7D8C9A" w14:textId="77777777" w:rsidR="00715669" w:rsidRPr="00715669" w:rsidRDefault="00715669" w:rsidP="00715669">
      <w:pPr>
        <w:numPr>
          <w:ilvl w:val="0"/>
          <w:numId w:val="8"/>
        </w:num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În caz de încetare din alte cauze decât prin ajungere la termen, excluzând forţa majoră, administratorul este obligat să asigure continuitatea serviciilor medicale și educaționale până la preluarea efectivă a imobilelor de către proprietar.</w:t>
      </w:r>
    </w:p>
    <w:p w14:paraId="0487E0A4"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VII. ÎNCETAREA CONTRACTULUI DE ADMINISTRARE</w:t>
      </w:r>
    </w:p>
    <w:p w14:paraId="6BC1AE3F"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7.1. Prezentul contract îşi încetează efectele în următoarele cazuri: a) la împlinirea termenului de 10 ani pentru care a fost încheiat; b) înainte de expirarea termenului, prin acordul scris al celor două părţi; c) odată cu încetarea dreptului de proprietate publică asupra imobilelor sau prin actul de revocare emis în condiţiile legii de către Consiliul Local (potrivit art. 869 din Codul Civil); d) prin denunţarea unilaterală de către proprietar, din motive excepţionale legate de interesul naţional sau local, fără plata de daune; e) la dispariţia bunurilor dintr-o cauză de forţă majoră sau în cazul imposibilităţii obiective a administratorului d'e a le mai exploata.</w:t>
      </w:r>
    </w:p>
    <w:p w14:paraId="00468959"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7.2. Prezentul contract încetează de drept fără punere în întârziere, fără intervenţia instanţei de judecată şi fără nicio altă formalitate prealabilă în caz de schimbare a titularului dreptului de proprietate publică.</w:t>
      </w:r>
    </w:p>
    <w:p w14:paraId="2D0FC285"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VIII. CLAUZE PRIVIND REZILIEREA CONTRACTULUI</w:t>
      </w:r>
    </w:p>
    <w:p w14:paraId="50A64215"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8.1. Contractul de administrare se reziliază de plin drept în una dintre următoarele situaţii: a) Administratorul schimbă destinaţia imobilelor (medicală/educațională) fără aprobarea prealabilă prin Hotărâre a Consiliului Local al Municipiului Timişoara; b) Administratorul nu îşi execută obligaţiile stabilite în sarcina sa prevăzute la art. 6.2; c) Nerespectarea repetată și culpabilă a obligațiilor de către administrator dă dreptul proprietarului de a considera contractul desfiinţat de plin drept, fără somaţie, punere în întârziere sau intervenţia instanţei de judecată, conform Pactului comisoriu de gradul IV, cu dreptul de a pretinde daune-interese.</w:t>
      </w:r>
    </w:p>
    <w:p w14:paraId="1541F8B9"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IX. FORŢA MAJORĂ</w:t>
      </w:r>
    </w:p>
    <w:p w14:paraId="1EEF8390"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9.1. Niciuna dintre părţi nu răspunde de neexecutarea în termen sau/şi de executarea necorespunzătoare a obligaţiilor dacă aceasta a fost cauzată de forţa majoră, aşa om este definită de lege. 9.2. Partea care invocă forţa majoră este obligată să notifice în scris celeilalte părţi, în termen de 3 zile, producerea evenimentului şi să ia toate măsurile posibile în vederea limitării consecinţelor lui. 9.3. Dacă în termen de 15 zile de la producere evenimentul nu încetează, părţile au dreptul să-şi notifice încetarea de plin drept a prezentului contract, fără ca vreuna dintre ele să pretindă daune-interese.</w:t>
      </w:r>
    </w:p>
    <w:p w14:paraId="6596E12F"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X. MODIFICAREA CONTRACTULUI</w:t>
      </w:r>
    </w:p>
    <w:p w14:paraId="6849B8EA"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 xml:space="preserve">10.1. Părţile contractante au dreptul, pe durata îndeplinirii contractului, de a conveni modificarea clauzelor acestuia exclusiv prin act adiţional, încheiat în formă scrisă, subsecvent </w:t>
      </w:r>
      <w:r w:rsidRPr="00715669">
        <w:rPr>
          <w:rFonts w:ascii="Times New Roman" w:eastAsia="Times New Roman" w:hAnsi="Times New Roman" w:cs="Times New Roman"/>
          <w:kern w:val="0"/>
          <w:lang w:eastAsia="ro-RO"/>
          <w14:ligatures w14:val="none"/>
        </w:rPr>
        <w:lastRenderedPageBreak/>
        <w:t>unei noi decizii a autorității deliberative. 10.2. Prezentul contract va fi adaptat corespunzător reglementărilor legale ulterioare încheierii acestuia care îi sunt aplicabile de drept.</w:t>
      </w:r>
    </w:p>
    <w:p w14:paraId="6F47D7F9"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XI. LITIGII</w:t>
      </w:r>
    </w:p>
    <w:p w14:paraId="32356C09"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11.1. Părţile vor face toate eforturile pentru a rezolva pe cale amiabilă orice neînţelegere sau dispută ivită în cadrul sau în legătură cu îndeplinirea contractului. 11.2. Dacă după 15 zile de la începerea acestor tratative părţile nu reuşesc să rezolve divergența în mod amiabil, litigiul se va soluţiona de către instanţele judecătoreşti de contencios administrativ competente.</w:t>
      </w:r>
    </w:p>
    <w:p w14:paraId="467E636B" w14:textId="77777777" w:rsidR="00715669" w:rsidRPr="00715669" w:rsidRDefault="00715669" w:rsidP="00715669">
      <w:pPr>
        <w:spacing w:before="100" w:beforeAutospacing="1" w:after="100" w:afterAutospacing="1" w:line="276" w:lineRule="auto"/>
        <w:jc w:val="both"/>
        <w:outlineLvl w:val="2"/>
        <w:rPr>
          <w:rFonts w:ascii="Times New Roman" w:eastAsia="Times New Roman" w:hAnsi="Times New Roman" w:cs="Times New Roman"/>
          <w:b/>
          <w:bCs/>
          <w:kern w:val="0"/>
          <w:lang w:eastAsia="ro-RO"/>
          <w14:ligatures w14:val="none"/>
        </w:rPr>
      </w:pPr>
      <w:r w:rsidRPr="00715669">
        <w:rPr>
          <w:rFonts w:ascii="Times New Roman" w:eastAsia="Times New Roman" w:hAnsi="Times New Roman" w:cs="Times New Roman"/>
          <w:b/>
          <w:bCs/>
          <w:kern w:val="0"/>
          <w:lang w:eastAsia="ro-RO"/>
          <w14:ligatures w14:val="none"/>
        </w:rPr>
        <w:t>XII. DISPOZIŢII FINALE</w:t>
      </w:r>
    </w:p>
    <w:p w14:paraId="79B8EB04" w14:textId="77777777" w:rsidR="00715669" w:rsidRPr="00715669" w:rsidRDefault="00715669" w:rsidP="00715669">
      <w:pPr>
        <w:spacing w:before="100" w:beforeAutospacing="1" w:after="100" w:afterAutospacing="1" w:line="276" w:lineRule="auto"/>
        <w:jc w:val="both"/>
        <w:rPr>
          <w:rFonts w:ascii="Times New Roman" w:eastAsia="Times New Roman" w:hAnsi="Times New Roman" w:cs="Times New Roman"/>
          <w:kern w:val="0"/>
          <w:lang w:eastAsia="ro-RO"/>
          <w14:ligatures w14:val="none"/>
        </w:rPr>
      </w:pPr>
      <w:r w:rsidRPr="00715669">
        <w:rPr>
          <w:rFonts w:ascii="Times New Roman" w:eastAsia="Times New Roman" w:hAnsi="Times New Roman" w:cs="Times New Roman"/>
          <w:kern w:val="0"/>
          <w:lang w:eastAsia="ro-RO"/>
          <w14:ligatures w14:val="none"/>
        </w:rPr>
        <w:t>12.1. Prezentul contract a fost încheiat în 4 (patru) exemplare originale, din care un exemplar revine Administratorului (ASEMT), iar trei exemplare rămân la Proprietar (Municipiul Timișoara).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B345B" w:rsidRPr="00AF75C5" w14:paraId="2F060773" w14:textId="77777777" w:rsidTr="00B8008B">
        <w:trPr>
          <w:trHeight w:val="300"/>
        </w:trPr>
        <w:tc>
          <w:tcPr>
            <w:tcW w:w="4500" w:type="dxa"/>
            <w:tcBorders>
              <w:top w:val="nil"/>
              <w:left w:val="nil"/>
              <w:bottom w:val="nil"/>
              <w:right w:val="nil"/>
            </w:tcBorders>
            <w:hideMark/>
          </w:tcPr>
          <w:p w14:paraId="4EB86E91" w14:textId="77777777" w:rsidR="000B345B" w:rsidRPr="00AF75C5" w:rsidRDefault="000B345B" w:rsidP="00B8008B">
            <w:pPr>
              <w:textAlignment w:val="baseline"/>
              <w:rPr>
                <w:sz w:val="22"/>
                <w:szCs w:val="22"/>
                <w:lang w:eastAsia="ro-RO"/>
              </w:rPr>
            </w:pPr>
          </w:p>
          <w:p w14:paraId="1476954F" w14:textId="77777777" w:rsidR="000B345B" w:rsidRPr="00AF75C5" w:rsidRDefault="000B345B" w:rsidP="00B8008B">
            <w:pPr>
              <w:pStyle w:val="Default"/>
              <w:jc w:val="center"/>
              <w:rPr>
                <w:b/>
                <w:bCs/>
                <w:color w:val="auto"/>
                <w:sz w:val="22"/>
                <w:szCs w:val="22"/>
                <w:lang w:val="ro-RO"/>
              </w:rPr>
            </w:pPr>
            <w:r w:rsidRPr="00AF75C5">
              <w:rPr>
                <w:b/>
                <w:bCs/>
                <w:color w:val="auto"/>
                <w:sz w:val="22"/>
                <w:szCs w:val="22"/>
                <w:lang w:val="ro-RO"/>
              </w:rPr>
              <w:t xml:space="preserve">MUNICIPIUL TIMIŞOARA                                                    </w:t>
            </w:r>
          </w:p>
          <w:p w14:paraId="244AA901" w14:textId="77777777" w:rsidR="000B345B" w:rsidRPr="00AF75C5" w:rsidRDefault="000B345B" w:rsidP="00B8008B">
            <w:pPr>
              <w:pStyle w:val="Default"/>
              <w:jc w:val="center"/>
              <w:rPr>
                <w:b/>
                <w:bCs/>
                <w:color w:val="auto"/>
                <w:sz w:val="22"/>
                <w:szCs w:val="22"/>
                <w:lang w:val="ro-RO"/>
              </w:rPr>
            </w:pPr>
            <w:r w:rsidRPr="00AF75C5">
              <w:rPr>
                <w:b/>
                <w:bCs/>
                <w:color w:val="auto"/>
                <w:sz w:val="22"/>
                <w:szCs w:val="22"/>
                <w:lang w:val="ro-RO"/>
              </w:rPr>
              <w:t>PRIMAR</w:t>
            </w:r>
          </w:p>
          <w:p w14:paraId="5F4252C5" w14:textId="77777777" w:rsidR="000B345B" w:rsidRPr="00AF75C5" w:rsidRDefault="000B345B" w:rsidP="00B8008B">
            <w:pPr>
              <w:pStyle w:val="Default"/>
              <w:jc w:val="center"/>
              <w:rPr>
                <w:color w:val="auto"/>
                <w:sz w:val="22"/>
                <w:szCs w:val="22"/>
                <w:lang w:val="ro-RO"/>
              </w:rPr>
            </w:pPr>
            <w:r w:rsidRPr="00AF75C5">
              <w:rPr>
                <w:color w:val="auto"/>
                <w:sz w:val="22"/>
                <w:szCs w:val="22"/>
                <w:lang w:val="ro-RO"/>
              </w:rPr>
              <w:t xml:space="preserve">DOMINIC FRITZ                                                                           </w:t>
            </w:r>
          </w:p>
          <w:p w14:paraId="0E6E2D61" w14:textId="1DAD882F" w:rsidR="000B345B" w:rsidRPr="00AF75C5" w:rsidRDefault="000B345B" w:rsidP="00B8008B">
            <w:pPr>
              <w:pStyle w:val="Default"/>
              <w:rPr>
                <w:color w:val="auto"/>
                <w:sz w:val="22"/>
                <w:szCs w:val="22"/>
                <w:lang w:val="ro-RO"/>
              </w:rPr>
            </w:pPr>
            <w:r>
              <w:rPr>
                <w:color w:val="auto"/>
                <w:sz w:val="22"/>
                <w:szCs w:val="22"/>
                <w:lang w:val="ro-RO"/>
              </w:rPr>
              <w:t xml:space="preserve"> </w:t>
            </w:r>
          </w:p>
          <w:p w14:paraId="33CFA59A" w14:textId="77777777" w:rsidR="000B345B" w:rsidRPr="00AF75C5" w:rsidRDefault="000B345B" w:rsidP="00B8008B">
            <w:pPr>
              <w:pStyle w:val="Default"/>
              <w:jc w:val="center"/>
              <w:rPr>
                <w:color w:val="auto"/>
                <w:sz w:val="22"/>
                <w:szCs w:val="22"/>
                <w:lang w:val="ro-RO"/>
              </w:rPr>
            </w:pPr>
          </w:p>
          <w:p w14:paraId="4010C3BC" w14:textId="77777777" w:rsidR="000B345B" w:rsidRPr="00AF75C5" w:rsidRDefault="000B345B" w:rsidP="00B8008B">
            <w:pPr>
              <w:pStyle w:val="Default"/>
              <w:jc w:val="center"/>
              <w:rPr>
                <w:b/>
                <w:bCs/>
                <w:color w:val="auto"/>
                <w:sz w:val="22"/>
                <w:szCs w:val="22"/>
                <w:lang w:val="ro-RO"/>
              </w:rPr>
            </w:pPr>
            <w:r w:rsidRPr="00AF75C5">
              <w:rPr>
                <w:b/>
                <w:bCs/>
                <w:color w:val="auto"/>
                <w:sz w:val="22"/>
                <w:szCs w:val="22"/>
                <w:lang w:val="ro-RO"/>
              </w:rPr>
              <w:t>DIRECTOR ECONOMIC</w:t>
            </w:r>
          </w:p>
          <w:p w14:paraId="5E31E560" w14:textId="77777777" w:rsidR="000B345B" w:rsidRPr="00AF75C5" w:rsidRDefault="000B345B" w:rsidP="00B8008B">
            <w:pPr>
              <w:pStyle w:val="Default"/>
              <w:jc w:val="center"/>
              <w:rPr>
                <w:color w:val="auto"/>
                <w:sz w:val="22"/>
                <w:szCs w:val="22"/>
                <w:lang w:val="ro-RO"/>
              </w:rPr>
            </w:pPr>
            <w:r w:rsidRPr="00AF75C5">
              <w:rPr>
                <w:color w:val="auto"/>
                <w:sz w:val="22"/>
                <w:szCs w:val="22"/>
                <w:lang w:val="ro-RO"/>
              </w:rPr>
              <w:t>STELIANA STANCIU</w:t>
            </w:r>
          </w:p>
          <w:p w14:paraId="3B398B29" w14:textId="77777777" w:rsidR="000B345B" w:rsidRPr="00AF75C5" w:rsidRDefault="000B345B" w:rsidP="00B8008B">
            <w:pPr>
              <w:pStyle w:val="Default"/>
              <w:jc w:val="center"/>
              <w:rPr>
                <w:color w:val="auto"/>
                <w:sz w:val="22"/>
                <w:szCs w:val="22"/>
                <w:lang w:val="ro-RO"/>
              </w:rPr>
            </w:pPr>
          </w:p>
          <w:p w14:paraId="299C8454" w14:textId="77777777" w:rsidR="000B345B" w:rsidRPr="00AF75C5" w:rsidRDefault="000B345B" w:rsidP="00B8008B">
            <w:pPr>
              <w:pStyle w:val="Default"/>
              <w:jc w:val="center"/>
              <w:rPr>
                <w:color w:val="auto"/>
                <w:sz w:val="22"/>
                <w:szCs w:val="22"/>
                <w:lang w:val="ro-RO"/>
              </w:rPr>
            </w:pPr>
          </w:p>
          <w:p w14:paraId="748D5B96" w14:textId="77777777" w:rsidR="000B345B" w:rsidRPr="00AF75C5" w:rsidRDefault="000B345B" w:rsidP="00B8008B">
            <w:pPr>
              <w:pStyle w:val="Default"/>
              <w:jc w:val="center"/>
              <w:rPr>
                <w:b/>
                <w:bCs/>
                <w:color w:val="auto"/>
                <w:sz w:val="22"/>
                <w:szCs w:val="22"/>
                <w:lang w:val="ro-RO"/>
              </w:rPr>
            </w:pPr>
            <w:r w:rsidRPr="00AF75C5">
              <w:rPr>
                <w:b/>
                <w:bCs/>
                <w:color w:val="auto"/>
                <w:sz w:val="22"/>
                <w:szCs w:val="22"/>
                <w:lang w:val="ro-RO"/>
              </w:rPr>
              <w:t>DIRECTOR DIRECȚIA JURIDICĂ</w:t>
            </w:r>
          </w:p>
          <w:p w14:paraId="6DFF77DC" w14:textId="77777777" w:rsidR="000B345B" w:rsidRPr="00AF75C5" w:rsidRDefault="000B345B" w:rsidP="00B8008B">
            <w:pPr>
              <w:pStyle w:val="Default"/>
              <w:jc w:val="center"/>
              <w:rPr>
                <w:color w:val="auto"/>
                <w:sz w:val="22"/>
                <w:szCs w:val="22"/>
                <w:lang w:val="ro-RO"/>
              </w:rPr>
            </w:pPr>
            <w:r w:rsidRPr="00AF75C5">
              <w:rPr>
                <w:color w:val="auto"/>
                <w:sz w:val="22"/>
                <w:szCs w:val="22"/>
                <w:lang w:val="ro-RO"/>
              </w:rPr>
              <w:t>CRISTIAN JENARIU</w:t>
            </w:r>
          </w:p>
          <w:p w14:paraId="7CA62230" w14:textId="77777777" w:rsidR="000B345B" w:rsidRPr="00AF75C5" w:rsidRDefault="000B345B" w:rsidP="00B8008B">
            <w:pPr>
              <w:pStyle w:val="Default"/>
              <w:jc w:val="center"/>
              <w:rPr>
                <w:color w:val="auto"/>
                <w:sz w:val="22"/>
                <w:szCs w:val="22"/>
                <w:lang w:val="ro-RO"/>
              </w:rPr>
            </w:pPr>
          </w:p>
          <w:p w14:paraId="0C7A819A" w14:textId="77777777" w:rsidR="000B345B" w:rsidRPr="00AF75C5" w:rsidRDefault="000B345B" w:rsidP="00B8008B">
            <w:pPr>
              <w:pStyle w:val="Default"/>
              <w:jc w:val="center"/>
              <w:rPr>
                <w:color w:val="auto"/>
                <w:sz w:val="22"/>
                <w:szCs w:val="22"/>
                <w:lang w:val="ro-RO"/>
              </w:rPr>
            </w:pPr>
          </w:p>
          <w:p w14:paraId="52CAB5A7" w14:textId="77777777" w:rsidR="000B345B" w:rsidRPr="00AF75C5" w:rsidRDefault="000B345B" w:rsidP="00B8008B">
            <w:pPr>
              <w:pStyle w:val="Default"/>
              <w:jc w:val="center"/>
              <w:rPr>
                <w:b/>
                <w:bCs/>
                <w:color w:val="auto"/>
                <w:sz w:val="22"/>
                <w:szCs w:val="22"/>
                <w:lang w:val="ro-RO"/>
              </w:rPr>
            </w:pPr>
            <w:r w:rsidRPr="00AF75C5">
              <w:rPr>
                <w:b/>
                <w:bCs/>
                <w:color w:val="auto"/>
                <w:sz w:val="22"/>
                <w:szCs w:val="22"/>
                <w:lang w:val="ro-RO"/>
              </w:rPr>
              <w:t>CONSILIER JURIDIC</w:t>
            </w:r>
          </w:p>
          <w:p w14:paraId="45A7B729" w14:textId="77777777" w:rsidR="000B345B" w:rsidRPr="00AF75C5" w:rsidRDefault="000B345B" w:rsidP="00B8008B">
            <w:pPr>
              <w:pStyle w:val="Default"/>
              <w:jc w:val="center"/>
              <w:rPr>
                <w:color w:val="auto"/>
                <w:sz w:val="22"/>
                <w:szCs w:val="22"/>
                <w:lang w:val="ro-RO"/>
              </w:rPr>
            </w:pPr>
            <w:r w:rsidRPr="00AF75C5">
              <w:rPr>
                <w:color w:val="auto"/>
                <w:sz w:val="22"/>
                <w:szCs w:val="22"/>
                <w:lang w:val="ro-RO"/>
              </w:rPr>
              <w:t>CLAUDIA CRISTINA MIAT</w:t>
            </w:r>
          </w:p>
          <w:p w14:paraId="4E2A8486" w14:textId="77777777" w:rsidR="000B345B" w:rsidRPr="00AF75C5" w:rsidRDefault="000B345B" w:rsidP="00B8008B">
            <w:pPr>
              <w:pStyle w:val="Default"/>
              <w:jc w:val="center"/>
              <w:rPr>
                <w:color w:val="auto"/>
                <w:sz w:val="22"/>
                <w:szCs w:val="22"/>
                <w:lang w:val="ro-RO"/>
              </w:rPr>
            </w:pPr>
          </w:p>
          <w:p w14:paraId="502AE058" w14:textId="77777777" w:rsidR="000B345B" w:rsidRPr="00AF75C5" w:rsidRDefault="000B345B" w:rsidP="00B8008B">
            <w:pPr>
              <w:pStyle w:val="Default"/>
              <w:jc w:val="center"/>
              <w:rPr>
                <w:color w:val="auto"/>
                <w:sz w:val="22"/>
                <w:szCs w:val="22"/>
                <w:lang w:val="ro-RO"/>
              </w:rPr>
            </w:pPr>
          </w:p>
          <w:p w14:paraId="17ED7DBE" w14:textId="77777777" w:rsidR="000B345B" w:rsidRPr="00AF75C5" w:rsidRDefault="000B345B" w:rsidP="00B8008B">
            <w:pPr>
              <w:pStyle w:val="Default"/>
              <w:jc w:val="center"/>
              <w:rPr>
                <w:b/>
                <w:bCs/>
                <w:color w:val="auto"/>
                <w:sz w:val="22"/>
                <w:szCs w:val="22"/>
                <w:lang w:val="ro-RO"/>
              </w:rPr>
            </w:pPr>
          </w:p>
          <w:p w14:paraId="0CFD9979" w14:textId="77777777" w:rsidR="000B345B" w:rsidRPr="00AF75C5" w:rsidRDefault="000B345B" w:rsidP="00B8008B">
            <w:pPr>
              <w:pStyle w:val="Default"/>
              <w:jc w:val="center"/>
              <w:rPr>
                <w:b/>
                <w:bCs/>
                <w:color w:val="auto"/>
                <w:sz w:val="22"/>
                <w:szCs w:val="22"/>
                <w:lang w:val="ro-RO"/>
              </w:rPr>
            </w:pPr>
            <w:r w:rsidRPr="00AF75C5">
              <w:rPr>
                <w:b/>
                <w:bCs/>
                <w:color w:val="auto"/>
                <w:sz w:val="22"/>
                <w:szCs w:val="22"/>
                <w:lang w:val="ro-RO"/>
              </w:rPr>
              <w:t>DIRECȚIA GVDP ale UAT</w:t>
            </w:r>
          </w:p>
          <w:p w14:paraId="77F57A51" w14:textId="77777777" w:rsidR="000B345B" w:rsidRPr="00AF75C5" w:rsidRDefault="000B345B" w:rsidP="00B8008B">
            <w:pPr>
              <w:pStyle w:val="Default"/>
              <w:jc w:val="center"/>
              <w:rPr>
                <w:b/>
                <w:bCs/>
                <w:color w:val="auto"/>
                <w:sz w:val="22"/>
                <w:szCs w:val="22"/>
                <w:lang w:val="ro-RO"/>
              </w:rPr>
            </w:pPr>
            <w:r w:rsidRPr="00AF75C5">
              <w:rPr>
                <w:b/>
                <w:bCs/>
                <w:color w:val="auto"/>
                <w:sz w:val="22"/>
                <w:szCs w:val="22"/>
                <w:lang w:val="ro-RO"/>
              </w:rPr>
              <w:t>DIRECTOR GENERAL</w:t>
            </w:r>
          </w:p>
          <w:p w14:paraId="1F625A95" w14:textId="77777777" w:rsidR="000B345B" w:rsidRPr="00AF75C5" w:rsidRDefault="000B345B" w:rsidP="00B8008B">
            <w:pPr>
              <w:pStyle w:val="Default"/>
              <w:jc w:val="center"/>
              <w:rPr>
                <w:color w:val="auto"/>
                <w:sz w:val="22"/>
                <w:szCs w:val="22"/>
                <w:lang w:val="ro-RO"/>
              </w:rPr>
            </w:pPr>
            <w:r w:rsidRPr="00AF75C5">
              <w:rPr>
                <w:color w:val="auto"/>
                <w:sz w:val="22"/>
                <w:szCs w:val="22"/>
                <w:lang w:val="ro-RO"/>
              </w:rPr>
              <w:t>CRISTIAN FRANȚESCU</w:t>
            </w:r>
          </w:p>
          <w:p w14:paraId="1B39C200" w14:textId="77777777" w:rsidR="000B345B" w:rsidRPr="00AF75C5" w:rsidRDefault="000B345B" w:rsidP="00B8008B">
            <w:pPr>
              <w:pStyle w:val="Default"/>
              <w:jc w:val="center"/>
              <w:rPr>
                <w:color w:val="auto"/>
                <w:sz w:val="22"/>
                <w:szCs w:val="22"/>
                <w:lang w:val="ro-RO"/>
              </w:rPr>
            </w:pPr>
          </w:p>
          <w:p w14:paraId="11D43280" w14:textId="77777777" w:rsidR="000B345B" w:rsidRPr="00AF75C5" w:rsidRDefault="000B345B" w:rsidP="00B8008B">
            <w:pPr>
              <w:pStyle w:val="Default"/>
              <w:jc w:val="center"/>
              <w:rPr>
                <w:color w:val="auto"/>
                <w:sz w:val="22"/>
                <w:szCs w:val="22"/>
                <w:lang w:val="ro-RO"/>
              </w:rPr>
            </w:pPr>
          </w:p>
          <w:p w14:paraId="14A20A55" w14:textId="77777777" w:rsidR="000B345B" w:rsidRPr="00AF75C5" w:rsidRDefault="000B345B" w:rsidP="00B8008B">
            <w:pPr>
              <w:pStyle w:val="Default"/>
              <w:jc w:val="center"/>
              <w:rPr>
                <w:b/>
                <w:bCs/>
                <w:color w:val="auto"/>
                <w:sz w:val="22"/>
                <w:szCs w:val="22"/>
                <w:lang w:val="ro-RO"/>
              </w:rPr>
            </w:pPr>
          </w:p>
          <w:p w14:paraId="27730A57" w14:textId="77777777" w:rsidR="000B345B" w:rsidRPr="00AF75C5" w:rsidRDefault="000B345B" w:rsidP="00B8008B">
            <w:pPr>
              <w:pStyle w:val="Default"/>
              <w:jc w:val="center"/>
              <w:rPr>
                <w:b/>
                <w:bCs/>
                <w:color w:val="auto"/>
                <w:sz w:val="22"/>
                <w:szCs w:val="22"/>
                <w:lang w:val="ro-RO"/>
              </w:rPr>
            </w:pPr>
            <w:r w:rsidRPr="00AF75C5">
              <w:rPr>
                <w:b/>
                <w:bCs/>
                <w:color w:val="auto"/>
                <w:sz w:val="22"/>
                <w:szCs w:val="22"/>
                <w:lang w:val="ro-RO"/>
              </w:rPr>
              <w:t>ȘEF SERVICIU VP</w:t>
            </w:r>
          </w:p>
          <w:p w14:paraId="03606C93" w14:textId="77777777" w:rsidR="000B345B" w:rsidRPr="00AF75C5" w:rsidRDefault="000B345B" w:rsidP="00B8008B">
            <w:pPr>
              <w:pStyle w:val="Default"/>
              <w:rPr>
                <w:color w:val="auto"/>
                <w:sz w:val="22"/>
                <w:szCs w:val="22"/>
                <w:lang w:val="ro-RO"/>
              </w:rPr>
            </w:pPr>
            <w:r>
              <w:rPr>
                <w:color w:val="auto"/>
                <w:sz w:val="22"/>
                <w:szCs w:val="22"/>
                <w:lang w:val="ro-RO"/>
              </w:rPr>
              <w:t xml:space="preserve">                          </w:t>
            </w:r>
            <w:r w:rsidRPr="00AF75C5">
              <w:rPr>
                <w:color w:val="auto"/>
                <w:sz w:val="22"/>
                <w:szCs w:val="22"/>
                <w:lang w:val="ro-RO"/>
              </w:rPr>
              <w:t>NASTASIA</w:t>
            </w:r>
            <w:r>
              <w:rPr>
                <w:color w:val="auto"/>
                <w:sz w:val="22"/>
                <w:szCs w:val="22"/>
                <w:lang w:val="ro-RO"/>
              </w:rPr>
              <w:t xml:space="preserve"> POP</w:t>
            </w:r>
          </w:p>
          <w:p w14:paraId="2531E306" w14:textId="77777777" w:rsidR="000B345B" w:rsidRPr="00AF75C5" w:rsidRDefault="000B345B" w:rsidP="00B8008B">
            <w:pPr>
              <w:pStyle w:val="Default"/>
              <w:rPr>
                <w:color w:val="auto"/>
                <w:sz w:val="22"/>
                <w:szCs w:val="22"/>
                <w:lang w:val="ro-RO"/>
              </w:rPr>
            </w:pPr>
          </w:p>
          <w:p w14:paraId="05DF29AF" w14:textId="77777777" w:rsidR="000B345B" w:rsidRDefault="000B345B" w:rsidP="00B8008B">
            <w:pPr>
              <w:pStyle w:val="Default"/>
              <w:rPr>
                <w:color w:val="auto"/>
                <w:sz w:val="22"/>
                <w:szCs w:val="22"/>
                <w:lang w:val="ro-RO"/>
              </w:rPr>
            </w:pPr>
          </w:p>
          <w:p w14:paraId="5D4EE382" w14:textId="77777777" w:rsidR="000B345B" w:rsidRPr="00AF75C5" w:rsidRDefault="000B345B" w:rsidP="00B8008B">
            <w:pPr>
              <w:pStyle w:val="Default"/>
              <w:rPr>
                <w:color w:val="auto"/>
                <w:sz w:val="22"/>
                <w:szCs w:val="22"/>
                <w:lang w:val="ro-RO"/>
              </w:rPr>
            </w:pPr>
          </w:p>
          <w:p w14:paraId="367AD043" w14:textId="77777777" w:rsidR="000B345B" w:rsidRPr="00AF75C5" w:rsidRDefault="000B345B" w:rsidP="00B8008B">
            <w:pPr>
              <w:pStyle w:val="Default"/>
              <w:rPr>
                <w:b/>
                <w:bCs/>
                <w:color w:val="auto"/>
                <w:sz w:val="22"/>
                <w:szCs w:val="22"/>
                <w:lang w:val="ro-RO"/>
              </w:rPr>
            </w:pPr>
            <w:r w:rsidRPr="00AF75C5">
              <w:rPr>
                <w:b/>
                <w:bCs/>
                <w:color w:val="auto"/>
                <w:sz w:val="22"/>
                <w:szCs w:val="22"/>
                <w:lang w:val="ro-RO"/>
              </w:rPr>
              <w:t xml:space="preserve">                             CONSILIER</w:t>
            </w:r>
          </w:p>
          <w:p w14:paraId="2094729C" w14:textId="77777777" w:rsidR="000B345B" w:rsidRPr="00AF75C5" w:rsidRDefault="000B345B" w:rsidP="00B8008B">
            <w:pPr>
              <w:pStyle w:val="Default"/>
              <w:rPr>
                <w:color w:val="auto"/>
                <w:sz w:val="22"/>
                <w:szCs w:val="22"/>
                <w:lang w:val="ro-RO"/>
              </w:rPr>
            </w:pPr>
            <w:r w:rsidRPr="00AF75C5">
              <w:rPr>
                <w:color w:val="auto"/>
                <w:sz w:val="22"/>
                <w:szCs w:val="22"/>
                <w:lang w:val="ro-RO"/>
              </w:rPr>
              <w:t xml:space="preserve">                            RALUCA IOVI</w:t>
            </w:r>
          </w:p>
          <w:p w14:paraId="79FD7D18" w14:textId="77777777" w:rsidR="000B345B" w:rsidRPr="00AF75C5" w:rsidRDefault="000B345B" w:rsidP="00B8008B">
            <w:pPr>
              <w:pStyle w:val="Default"/>
              <w:jc w:val="center"/>
              <w:rPr>
                <w:color w:val="auto"/>
                <w:sz w:val="22"/>
                <w:szCs w:val="22"/>
                <w:lang w:val="ro-RO"/>
              </w:rPr>
            </w:pPr>
          </w:p>
          <w:p w14:paraId="0CB50B4A" w14:textId="77777777" w:rsidR="000B345B" w:rsidRPr="00AF75C5" w:rsidRDefault="000B345B" w:rsidP="00B8008B">
            <w:pPr>
              <w:pStyle w:val="Default"/>
              <w:jc w:val="center"/>
              <w:rPr>
                <w:color w:val="auto"/>
                <w:sz w:val="22"/>
                <w:szCs w:val="22"/>
                <w:lang w:val="ro-RO"/>
              </w:rPr>
            </w:pPr>
          </w:p>
          <w:p w14:paraId="187EDC3E" w14:textId="77777777" w:rsidR="000B345B" w:rsidRPr="00AF75C5" w:rsidRDefault="000B345B" w:rsidP="00B8008B">
            <w:pPr>
              <w:textAlignment w:val="baseline"/>
              <w:rPr>
                <w:sz w:val="22"/>
                <w:szCs w:val="22"/>
                <w:lang w:eastAsia="ro-RO"/>
              </w:rPr>
            </w:pPr>
          </w:p>
        </w:tc>
        <w:tc>
          <w:tcPr>
            <w:tcW w:w="4500" w:type="dxa"/>
            <w:tcBorders>
              <w:top w:val="nil"/>
              <w:left w:val="nil"/>
              <w:bottom w:val="nil"/>
              <w:right w:val="nil"/>
            </w:tcBorders>
            <w:hideMark/>
          </w:tcPr>
          <w:p w14:paraId="55D3FF81" w14:textId="77777777" w:rsidR="000B345B" w:rsidRPr="00AF75C5" w:rsidRDefault="000B345B" w:rsidP="00B8008B">
            <w:pPr>
              <w:textAlignment w:val="baseline"/>
              <w:rPr>
                <w:sz w:val="22"/>
                <w:szCs w:val="22"/>
                <w:lang w:eastAsia="ro-RO"/>
              </w:rPr>
            </w:pPr>
            <w:r w:rsidRPr="00AF75C5">
              <w:rPr>
                <w:b/>
                <w:bCs/>
                <w:sz w:val="22"/>
                <w:szCs w:val="22"/>
                <w:lang w:eastAsia="ro-RO"/>
              </w:rPr>
              <w:t xml:space="preserve">                                </w:t>
            </w:r>
          </w:p>
          <w:p w14:paraId="40FDCE8E" w14:textId="36019799" w:rsidR="000B345B" w:rsidRDefault="000B345B" w:rsidP="000B345B">
            <w:pPr>
              <w:jc w:val="center"/>
              <w:textAlignment w:val="baseline"/>
              <w:rPr>
                <w:b/>
                <w:bCs/>
              </w:rPr>
            </w:pPr>
            <w:r w:rsidRPr="00AF75C5">
              <w:rPr>
                <w:b/>
                <w:bCs/>
                <w:sz w:val="22"/>
                <w:szCs w:val="22"/>
                <w:lang w:eastAsia="ro-RO"/>
              </w:rPr>
              <w:t xml:space="preserve">    </w:t>
            </w:r>
            <w:r w:rsidRPr="002D3EF8">
              <w:rPr>
                <w:b/>
                <w:bCs/>
              </w:rPr>
              <w:t>ADMINISTRAȚI</w:t>
            </w:r>
            <w:r>
              <w:rPr>
                <w:b/>
                <w:bCs/>
              </w:rPr>
              <w:t>A</w:t>
            </w:r>
            <w:r w:rsidRPr="002D3EF8">
              <w:rPr>
                <w:b/>
                <w:bCs/>
              </w:rPr>
              <w:t xml:space="preserve"> PENTRU </w:t>
            </w:r>
            <w:r>
              <w:rPr>
                <w:b/>
                <w:bCs/>
              </w:rPr>
              <w:t xml:space="preserve">  </w:t>
            </w:r>
            <w:r w:rsidRPr="002D3EF8">
              <w:rPr>
                <w:b/>
                <w:bCs/>
              </w:rPr>
              <w:t xml:space="preserve">SĂNĂTATE ȘI EDUCAȚIE A </w:t>
            </w:r>
            <w:r>
              <w:rPr>
                <w:b/>
                <w:bCs/>
              </w:rPr>
              <w:t xml:space="preserve">  </w:t>
            </w:r>
            <w:r w:rsidRPr="002D3EF8">
              <w:rPr>
                <w:b/>
                <w:bCs/>
              </w:rPr>
              <w:t xml:space="preserve">MUNICIPIULUI </w:t>
            </w:r>
            <w:r>
              <w:rPr>
                <w:b/>
                <w:bCs/>
              </w:rPr>
              <w:t xml:space="preserve">                          </w:t>
            </w:r>
            <w:r w:rsidRPr="002D3EF8">
              <w:rPr>
                <w:b/>
                <w:bCs/>
              </w:rPr>
              <w:t xml:space="preserve">TIMIȘOARA </w:t>
            </w:r>
          </w:p>
          <w:p w14:paraId="63E9FD7E" w14:textId="7D08386E" w:rsidR="000B345B" w:rsidRPr="00AF75C5" w:rsidRDefault="000B345B" w:rsidP="00B8008B">
            <w:pPr>
              <w:jc w:val="center"/>
              <w:textAlignment w:val="baseline"/>
              <w:rPr>
                <w:b/>
                <w:bCs/>
                <w:sz w:val="22"/>
                <w:szCs w:val="22"/>
                <w:lang w:eastAsia="ro-RO"/>
              </w:rPr>
            </w:pPr>
            <w:r>
              <w:rPr>
                <w:b/>
                <w:bCs/>
              </w:rPr>
              <w:t xml:space="preserve">  </w:t>
            </w:r>
            <w:r w:rsidRPr="002D3EF8">
              <w:rPr>
                <w:b/>
                <w:bCs/>
              </w:rPr>
              <w:t>(ASEMT)</w:t>
            </w:r>
          </w:p>
          <w:p w14:paraId="22AEB7CC" w14:textId="1F11F79A" w:rsidR="000B345B" w:rsidRDefault="000B345B" w:rsidP="00B8008B">
            <w:pPr>
              <w:tabs>
                <w:tab w:val="left" w:pos="1575"/>
                <w:tab w:val="center" w:pos="2250"/>
                <w:tab w:val="right" w:pos="4500"/>
              </w:tabs>
              <w:textAlignment w:val="baseline"/>
              <w:rPr>
                <w:sz w:val="22"/>
                <w:szCs w:val="22"/>
                <w:lang w:eastAsia="ro-RO"/>
              </w:rPr>
            </w:pPr>
            <w:r>
              <w:rPr>
                <w:sz w:val="22"/>
                <w:szCs w:val="22"/>
                <w:lang w:eastAsia="ro-RO"/>
              </w:rPr>
              <w:t xml:space="preserve">                               </w:t>
            </w:r>
            <w:r>
              <w:rPr>
                <w:sz w:val="22"/>
                <w:szCs w:val="22"/>
                <w:lang w:eastAsia="ro-RO"/>
              </w:rPr>
              <w:t xml:space="preserve">  prin director general</w:t>
            </w:r>
          </w:p>
          <w:p w14:paraId="23CDCB9A" w14:textId="39808062" w:rsidR="000B345B" w:rsidRPr="00AF75C5" w:rsidRDefault="000B345B" w:rsidP="00B8008B">
            <w:pPr>
              <w:tabs>
                <w:tab w:val="left" w:pos="1575"/>
                <w:tab w:val="center" w:pos="2250"/>
                <w:tab w:val="right" w:pos="4500"/>
              </w:tabs>
              <w:textAlignment w:val="baseline"/>
              <w:rPr>
                <w:sz w:val="22"/>
                <w:szCs w:val="22"/>
                <w:lang w:eastAsia="ro-RO"/>
              </w:rPr>
            </w:pPr>
            <w:r>
              <w:rPr>
                <w:sz w:val="22"/>
                <w:szCs w:val="22"/>
                <w:lang w:eastAsia="ro-RO"/>
              </w:rPr>
              <w:t xml:space="preserve">                                </w:t>
            </w:r>
            <w:r>
              <w:rPr>
                <w:sz w:val="22"/>
                <w:szCs w:val="22"/>
                <w:lang w:eastAsia="ro-RO"/>
              </w:rPr>
              <w:t xml:space="preserve">  </w:t>
            </w:r>
            <w:r>
              <w:rPr>
                <w:sz w:val="22"/>
                <w:szCs w:val="22"/>
                <w:lang w:eastAsia="ro-RO"/>
              </w:rPr>
              <w:t xml:space="preserve"> FLORENTINA RADU </w:t>
            </w:r>
            <w:r w:rsidRPr="00AF75C5">
              <w:rPr>
                <w:sz w:val="22"/>
                <w:szCs w:val="22"/>
                <w:lang w:eastAsia="ro-RO"/>
              </w:rPr>
              <w:t xml:space="preserve">                              </w:t>
            </w:r>
          </w:p>
          <w:p w14:paraId="29089928" w14:textId="77777777" w:rsidR="000B345B" w:rsidRPr="00AF75C5" w:rsidRDefault="000B345B" w:rsidP="00B8008B">
            <w:pPr>
              <w:jc w:val="right"/>
              <w:rPr>
                <w:sz w:val="22"/>
                <w:szCs w:val="22"/>
                <w:lang w:eastAsia="ro-RO"/>
              </w:rPr>
            </w:pPr>
            <w:r w:rsidRPr="00AF75C5">
              <w:rPr>
                <w:sz w:val="22"/>
                <w:szCs w:val="22"/>
                <w:lang w:eastAsia="ro-RO"/>
              </w:rPr>
              <w:t xml:space="preserve">                                   </w:t>
            </w:r>
          </w:p>
          <w:p w14:paraId="49E84E93" w14:textId="77777777" w:rsidR="000B345B" w:rsidRPr="00AF75C5" w:rsidRDefault="000B345B" w:rsidP="00B8008B">
            <w:pPr>
              <w:rPr>
                <w:sz w:val="22"/>
                <w:szCs w:val="22"/>
                <w:lang w:eastAsia="ro-RO"/>
              </w:rPr>
            </w:pPr>
          </w:p>
          <w:p w14:paraId="701B3C55" w14:textId="77777777" w:rsidR="000B345B" w:rsidRPr="00AF75C5" w:rsidRDefault="000B345B" w:rsidP="00B8008B">
            <w:pPr>
              <w:rPr>
                <w:sz w:val="22"/>
                <w:szCs w:val="22"/>
                <w:lang w:eastAsia="ro-RO"/>
              </w:rPr>
            </w:pPr>
          </w:p>
          <w:p w14:paraId="5FE68E66" w14:textId="77777777" w:rsidR="000B345B" w:rsidRPr="00AF75C5" w:rsidRDefault="000B345B" w:rsidP="00B8008B">
            <w:pPr>
              <w:rPr>
                <w:sz w:val="22"/>
                <w:szCs w:val="22"/>
                <w:lang w:eastAsia="ro-RO"/>
              </w:rPr>
            </w:pPr>
          </w:p>
          <w:p w14:paraId="2AF1D345" w14:textId="77777777" w:rsidR="000B345B" w:rsidRPr="00AF75C5" w:rsidRDefault="000B345B" w:rsidP="00B8008B">
            <w:pPr>
              <w:rPr>
                <w:sz w:val="22"/>
                <w:szCs w:val="22"/>
                <w:lang w:eastAsia="ro-RO"/>
              </w:rPr>
            </w:pPr>
          </w:p>
          <w:p w14:paraId="1A42CD58" w14:textId="77777777" w:rsidR="000B345B" w:rsidRPr="00AF75C5" w:rsidRDefault="000B345B" w:rsidP="00B8008B">
            <w:pPr>
              <w:jc w:val="center"/>
              <w:rPr>
                <w:sz w:val="22"/>
                <w:szCs w:val="22"/>
                <w:lang w:eastAsia="ro-RO"/>
              </w:rPr>
            </w:pPr>
          </w:p>
          <w:p w14:paraId="0FCC6331" w14:textId="77777777" w:rsidR="000B345B" w:rsidRPr="00AF75C5" w:rsidRDefault="000B345B" w:rsidP="00B8008B">
            <w:pPr>
              <w:rPr>
                <w:sz w:val="22"/>
                <w:szCs w:val="22"/>
                <w:lang w:eastAsia="ro-RO"/>
              </w:rPr>
            </w:pPr>
          </w:p>
        </w:tc>
      </w:tr>
    </w:tbl>
    <w:p w14:paraId="22FE9CBC" w14:textId="77777777" w:rsidR="00367E7D" w:rsidRPr="000B345B" w:rsidRDefault="00367E7D" w:rsidP="000B345B">
      <w:pPr>
        <w:jc w:val="both"/>
        <w:rPr>
          <w:rFonts w:ascii="Times New Roman" w:hAnsi="Times New Roman" w:cs="Times New Roman"/>
        </w:rPr>
      </w:pPr>
    </w:p>
    <w:sectPr w:rsidR="00367E7D" w:rsidRPr="000B3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BD6"/>
    <w:multiLevelType w:val="multilevel"/>
    <w:tmpl w:val="9E8E5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05142"/>
    <w:multiLevelType w:val="multilevel"/>
    <w:tmpl w:val="24DA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618FD"/>
    <w:multiLevelType w:val="multilevel"/>
    <w:tmpl w:val="96D4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244F3"/>
    <w:multiLevelType w:val="multilevel"/>
    <w:tmpl w:val="CDF4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B07F7"/>
    <w:multiLevelType w:val="multilevel"/>
    <w:tmpl w:val="870C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407BE"/>
    <w:multiLevelType w:val="multilevel"/>
    <w:tmpl w:val="8C7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B7371"/>
    <w:multiLevelType w:val="multilevel"/>
    <w:tmpl w:val="00AA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54096"/>
    <w:multiLevelType w:val="multilevel"/>
    <w:tmpl w:val="ECA4F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4475509">
    <w:abstractNumId w:val="4"/>
  </w:num>
  <w:num w:numId="2" w16cid:durableId="2128430794">
    <w:abstractNumId w:val="7"/>
  </w:num>
  <w:num w:numId="3" w16cid:durableId="1782530664">
    <w:abstractNumId w:val="1"/>
  </w:num>
  <w:num w:numId="4" w16cid:durableId="1267735611">
    <w:abstractNumId w:val="6"/>
  </w:num>
  <w:num w:numId="5" w16cid:durableId="1165247380">
    <w:abstractNumId w:val="5"/>
  </w:num>
  <w:num w:numId="6" w16cid:durableId="1613396777">
    <w:abstractNumId w:val="3"/>
  </w:num>
  <w:num w:numId="7" w16cid:durableId="1644657745">
    <w:abstractNumId w:val="2"/>
  </w:num>
  <w:num w:numId="8" w16cid:durableId="199375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5B"/>
    <w:rsid w:val="000B345B"/>
    <w:rsid w:val="00367E7D"/>
    <w:rsid w:val="006A0AFB"/>
    <w:rsid w:val="00715669"/>
    <w:rsid w:val="00B45838"/>
    <w:rsid w:val="00CF1237"/>
    <w:rsid w:val="00E551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BD2D"/>
  <w15:chartTrackingRefBased/>
  <w15:docId w15:val="{7670DD66-A996-493F-BC83-AA41C3C9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45B"/>
    <w:rPr>
      <w:rFonts w:eastAsiaTheme="majorEastAsia" w:cstheme="majorBidi"/>
      <w:color w:val="272727" w:themeColor="text1" w:themeTint="D8"/>
    </w:rPr>
  </w:style>
  <w:style w:type="paragraph" w:styleId="Title">
    <w:name w:val="Title"/>
    <w:basedOn w:val="Normal"/>
    <w:next w:val="Normal"/>
    <w:link w:val="TitleChar"/>
    <w:uiPriority w:val="10"/>
    <w:qFormat/>
    <w:rsid w:val="000B3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45B"/>
    <w:pPr>
      <w:spacing w:before="160"/>
      <w:jc w:val="center"/>
    </w:pPr>
    <w:rPr>
      <w:i/>
      <w:iCs/>
      <w:color w:val="404040" w:themeColor="text1" w:themeTint="BF"/>
    </w:rPr>
  </w:style>
  <w:style w:type="character" w:customStyle="1" w:styleId="QuoteChar">
    <w:name w:val="Quote Char"/>
    <w:basedOn w:val="DefaultParagraphFont"/>
    <w:link w:val="Quote"/>
    <w:uiPriority w:val="29"/>
    <w:rsid w:val="000B345B"/>
    <w:rPr>
      <w:i/>
      <w:iCs/>
      <w:color w:val="404040" w:themeColor="text1" w:themeTint="BF"/>
    </w:rPr>
  </w:style>
  <w:style w:type="paragraph" w:styleId="ListParagraph">
    <w:name w:val="List Paragraph"/>
    <w:basedOn w:val="Normal"/>
    <w:uiPriority w:val="34"/>
    <w:qFormat/>
    <w:rsid w:val="000B345B"/>
    <w:pPr>
      <w:ind w:left="720"/>
      <w:contextualSpacing/>
    </w:pPr>
  </w:style>
  <w:style w:type="character" w:styleId="IntenseEmphasis">
    <w:name w:val="Intense Emphasis"/>
    <w:basedOn w:val="DefaultParagraphFont"/>
    <w:uiPriority w:val="21"/>
    <w:qFormat/>
    <w:rsid w:val="000B345B"/>
    <w:rPr>
      <w:i/>
      <w:iCs/>
      <w:color w:val="0F4761" w:themeColor="accent1" w:themeShade="BF"/>
    </w:rPr>
  </w:style>
  <w:style w:type="paragraph" w:styleId="IntenseQuote">
    <w:name w:val="Intense Quote"/>
    <w:basedOn w:val="Normal"/>
    <w:next w:val="Normal"/>
    <w:link w:val="IntenseQuoteChar"/>
    <w:uiPriority w:val="30"/>
    <w:qFormat/>
    <w:rsid w:val="000B3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45B"/>
    <w:rPr>
      <w:i/>
      <w:iCs/>
      <w:color w:val="0F4761" w:themeColor="accent1" w:themeShade="BF"/>
    </w:rPr>
  </w:style>
  <w:style w:type="character" w:styleId="IntenseReference">
    <w:name w:val="Intense Reference"/>
    <w:basedOn w:val="DefaultParagraphFont"/>
    <w:uiPriority w:val="32"/>
    <w:qFormat/>
    <w:rsid w:val="000B345B"/>
    <w:rPr>
      <w:b/>
      <w:bCs/>
      <w:smallCaps/>
      <w:color w:val="0F4761" w:themeColor="accent1" w:themeShade="BF"/>
      <w:spacing w:val="5"/>
    </w:rPr>
  </w:style>
  <w:style w:type="paragraph" w:customStyle="1" w:styleId="Default">
    <w:name w:val="Default"/>
    <w:rsid w:val="000B345B"/>
    <w:pPr>
      <w:autoSpaceDE w:val="0"/>
      <w:autoSpaceDN w:val="0"/>
      <w:adjustRightInd w:val="0"/>
      <w:spacing w:after="0" w:line="240" w:lineRule="auto"/>
    </w:pPr>
    <w:rPr>
      <w:rFonts w:ascii="Times New Roman" w:hAnsi="Times New Roman" w:cs="Times New Roman"/>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1729</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IOVI</dc:creator>
  <cp:keywords/>
  <dc:description/>
  <cp:lastModifiedBy>Raluca IOVI</cp:lastModifiedBy>
  <cp:revision>1</cp:revision>
  <dcterms:created xsi:type="dcterms:W3CDTF">2026-06-24T06:24:00Z</dcterms:created>
  <dcterms:modified xsi:type="dcterms:W3CDTF">2026-06-24T06:48:00Z</dcterms:modified>
</cp:coreProperties>
</file>