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ind w:right="142.7952755905511"/>
        <w:rPr>
          <w:rFonts w:ascii="Inter" w:cs="Inter" w:eastAsia="Inter" w:hAnsi="Inter"/>
          <w:highlight w:val="yellow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nr. 4 la Decizia IES-DEC nr. </w:t>
      </w:r>
      <w:r w:rsidDel="00000000" w:rsidR="00000000" w:rsidRPr="00000000">
        <w:rPr>
          <w:rFonts w:ascii="Inter" w:cs="Inter" w:eastAsia="Inter" w:hAnsi="Inter"/>
          <w:rtl w:val="0"/>
        </w:rPr>
        <w:t xml:space="preserve">___ /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ind w:right="142.7952755905511"/>
        <w:rPr>
          <w:rFonts w:ascii="Inter" w:cs="Inter" w:eastAsia="Inter" w:hAnsi="Inter"/>
          <w:sz w:val="18"/>
          <w:szCs w:val="1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right="142.7952755905511"/>
        <w:rPr>
          <w:rFonts w:ascii="Inter" w:cs="Inter" w:eastAsia="Inter" w:hAnsi="Inter"/>
          <w:b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b w:val="1"/>
          <w:sz w:val="30"/>
          <w:szCs w:val="30"/>
          <w:rtl w:val="0"/>
        </w:rPr>
        <w:t xml:space="preserve">Listă documentație internă și pentru colaboratori externi</w:t>
      </w:r>
    </w:p>
    <w:p w:rsidR="00000000" w:rsidDel="00000000" w:rsidP="00000000" w:rsidRDefault="00000000" w:rsidRPr="00000000" w14:paraId="00000004">
      <w:pPr>
        <w:spacing w:after="100" w:before="100" w:line="276" w:lineRule="auto"/>
        <w:ind w:right="142.7952755905511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pentru programul prioritar de finanțare nerambursabilă</w:t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4"/>
          <w:szCs w:val="24"/>
          <w:highlight w:val="white"/>
          <w:rtl w:val="0"/>
        </w:rPr>
        <w:t xml:space="preserve">cu caracter multianual </w:t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highlight w:val="white"/>
          <w:rtl w:val="0"/>
        </w:rPr>
        <w:t xml:space="preserve">Repere în cultură</w:t>
      </w:r>
      <w:r w:rsidDel="00000000" w:rsidR="00000000" w:rsidRPr="00000000">
        <w:rPr>
          <w:rFonts w:ascii="Inter" w:cs="Inter" w:eastAsia="Inter" w:hAnsi="Inter"/>
          <w:sz w:val="24"/>
          <w:szCs w:val="24"/>
          <w:highlight w:val="white"/>
          <w:rtl w:val="0"/>
        </w:rPr>
        <w:t xml:space="preserve">, derulat de Centrul de Proiecte al Municipiului Timișoara în perioada</w:t>
      </w:r>
      <w:r w:rsidDel="00000000" w:rsidR="00000000" w:rsidRPr="00000000">
        <w:rPr>
          <w:rFonts w:ascii="Inter" w:cs="Inter" w:eastAsia="Inter" w:hAnsi="Inter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4"/>
          <w:szCs w:val="24"/>
          <w:highlight w:val="white"/>
          <w:rtl w:val="0"/>
        </w:rPr>
        <w:t xml:space="preserve">2026-2027</w:t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.7952755905511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ind w:right="142.7952755905511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Prezenta listă și următoarele documente</w:t>
      </w:r>
      <w:r w:rsidDel="00000000" w:rsidR="00000000" w:rsidRPr="00000000">
        <w:rPr>
          <w:rFonts w:ascii="Inter" w:cs="Inter" w:eastAsia="Inter" w:hAnsi="Inter"/>
          <w:rtl w:val="0"/>
        </w:rPr>
        <w:t xml:space="preserve">, fac parte integrantă din documentația publică a programului de finanțare </w:t>
      </w:r>
      <w:r w:rsidDel="00000000" w:rsidR="00000000" w:rsidRPr="00000000">
        <w:rPr>
          <w:rFonts w:ascii="Inter" w:cs="Inter" w:eastAsia="Inter" w:hAnsi="Inter"/>
          <w:rtl w:val="0"/>
        </w:rPr>
        <w:t xml:space="preserve">prioritar cu caracter multianual </w:t>
      </w:r>
      <w:r w:rsidDel="00000000" w:rsidR="00000000" w:rsidRPr="00000000">
        <w:rPr>
          <w:rFonts w:ascii="Inter" w:cs="Inter" w:eastAsia="Inter" w:hAnsi="Inter"/>
          <w:i w:val="1"/>
          <w:rtl w:val="0"/>
        </w:rPr>
        <w:t xml:space="preserve">Repere în cultură</w:t>
      </w:r>
      <w:r w:rsidDel="00000000" w:rsidR="00000000" w:rsidRPr="00000000">
        <w:rPr>
          <w:rFonts w:ascii="Inter" w:cs="Inter" w:eastAsia="Inter" w:hAnsi="Inter"/>
          <w:rtl w:val="0"/>
        </w:rPr>
        <w:t xml:space="preserve"> derulat de Centrul de Proiecte al Municipiului Timișoara în perioada 2026-2027 </w:t>
      </w:r>
      <w:r w:rsidDel="00000000" w:rsidR="00000000" w:rsidRPr="00000000">
        <w:rPr>
          <w:rFonts w:ascii="Inter" w:cs="Inter" w:eastAsia="Inter" w:hAnsi="Inter"/>
          <w:rtl w:val="0"/>
        </w:rPr>
        <w:t xml:space="preserve">și se vor folosi intern și în relație cu evaluatori, monitori și alți colaboratori externi: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selecție și evaluare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26: Centralizator grile de verificare a îndeplinirii condițiilor de participare la selecție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27: Centralizator grile de evaluare și selecție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28: Declarație de imparțialitate verificare îndeplinire condiții de participare la selecție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29: Contract evaluator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30: Declarație de imparțialitate evaluator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31: Informare privind prelucrarea datelor cu caracter personal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32: Proces verbal de recepție a grilelor de evaluare și selecție</w:t>
      </w:r>
    </w:p>
    <w:p w:rsidR="00000000" w:rsidDel="00000000" w:rsidP="00000000" w:rsidRDefault="00000000" w:rsidRPr="00000000" w14:paraId="00000010">
      <w:pPr>
        <w:spacing w:after="100" w:before="100" w:line="276" w:lineRule="auto"/>
        <w:ind w:left="72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monitorizare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33: Procedura de monitorizare a proiectelor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34: Raport de monitorizare pe teren a evenimentului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35: Raport în urma interviului de monitorizare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36: Raport de analiză a monitorizării proiectului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37: Contract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38: Declarație de imparțialitate și confidențialitate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39: Proces verbal de recepție a rapoartelor de monitorizare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before="100" w:line="276" w:lineRule="auto"/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decont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00" w:before="100" w:line="276" w:lineRule="auto"/>
        <w:ind w:left="1133.858267716535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40: Raport de verificare a documentelor justificative depuse la decont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rPr/>
    </w:pPr>
    <w:r w:rsidDel="00000000" w:rsidR="00000000" w:rsidRPr="00000000">
      <w:rPr>
        <w:rFonts w:ascii="Inter" w:cs="Inter" w:eastAsia="Inter" w:hAnsi="Inter"/>
        <w:color w:val="3c4043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-9513</wp:posOffset>
          </wp:positionV>
          <wp:extent cx="579938" cy="57993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276" w:lineRule="auto"/>
      <w:ind w:left="0" w:firstLine="0"/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76" w:lineRule="auto"/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276" w:lineRule="auto"/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00" w:line="276" w:lineRule="auto"/>
    </w:pPr>
    <w:rPr>
      <w:b w:val="1"/>
      <w:u w:val="singl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JCWmPZgnoUIZx0x7GNUmVuquw==">CgMxLjA4AHIhMXRaSXgzbElvNUtpZGl5QktQc0FEdkN2enJSUXJGMkw0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