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6BA9" w14:textId="77777777" w:rsidR="007E6508" w:rsidRPr="001B00E5" w:rsidRDefault="007E6508" w:rsidP="007E6508">
      <w:pPr>
        <w:spacing w:line="240" w:lineRule="auto"/>
        <w:jc w:val="both"/>
        <w:rPr>
          <w:sz w:val="28"/>
          <w:szCs w:val="28"/>
          <w:lang w:val="ro-RO"/>
        </w:rPr>
      </w:pPr>
    </w:p>
    <w:p w14:paraId="44C93884" w14:textId="1025A27C" w:rsidR="007E6508" w:rsidRPr="00037822" w:rsidRDefault="007E6508" w:rsidP="00097274">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097274">
        <w:rPr>
          <w:b/>
          <w:bCs/>
          <w:sz w:val="28"/>
          <w:szCs w:val="28"/>
          <w:lang w:val="it-IT"/>
        </w:rPr>
        <w:t xml:space="preserve">HCL Satu Mare </w:t>
      </w:r>
      <w:r>
        <w:rPr>
          <w:b/>
          <w:bCs/>
          <w:sz w:val="28"/>
          <w:szCs w:val="28"/>
          <w:lang w:val="it-IT"/>
        </w:rPr>
        <w:t xml:space="preserve"> nr. 120/07.04.2022</w:t>
      </w:r>
    </w:p>
    <w:p w14:paraId="7689FF2F" w14:textId="77777777" w:rsidR="007E6508" w:rsidRPr="00630A42" w:rsidRDefault="007E6508" w:rsidP="007E6508">
      <w:pPr>
        <w:spacing w:line="240" w:lineRule="auto"/>
        <w:jc w:val="both"/>
        <w:rPr>
          <w:b/>
          <w:bCs/>
          <w:sz w:val="28"/>
          <w:szCs w:val="28"/>
          <w:lang w:val="ro-RO"/>
        </w:rPr>
      </w:pPr>
      <w:r w:rsidRPr="00630A42">
        <w:rPr>
          <w:b/>
          <w:bCs/>
          <w:sz w:val="28"/>
          <w:szCs w:val="28"/>
          <w:lang w:val="ro-RO"/>
        </w:rPr>
        <w:t>Lucrările propuse pentru creşterea eficienţei energetice şi indicatorii energetici</w:t>
      </w:r>
    </w:p>
    <w:p w14:paraId="270FA91C"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bookmarkStart w:id="0" w:name="_Hlk100130032"/>
      <w:r w:rsidRPr="007564FD">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1ED7548A"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 xml:space="preserve">Izolarea termică a faţadei - parte opacă, prin termoizolarea pereților exteriori cu o grosime a termoizolației de </w:t>
      </w:r>
      <w:r w:rsidRPr="007564FD">
        <w:rPr>
          <w:rFonts w:ascii="Times New Roman" w:hAnsi="Times New Roman" w:cs="Times New Roman"/>
          <w:noProof/>
          <w:sz w:val="28"/>
          <w:szCs w:val="28"/>
        </w:rPr>
        <w:t>15</w:t>
      </w:r>
      <w:r w:rsidRPr="007564FD">
        <w:rPr>
          <w:rFonts w:ascii="Times New Roman" w:hAnsi="Times New Roman" w:cs="Times New Roman"/>
          <w:sz w:val="28"/>
          <w:szCs w:val="28"/>
        </w:rPr>
        <w:t xml:space="preserve"> cm</w:t>
      </w:r>
    </w:p>
    <w:p w14:paraId="45D302E8"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Izolarea termică a faţadei - parte opacă, prin termoizolarea planşeului peste ultimul nivel cu sisteme termoizolante</w:t>
      </w:r>
    </w:p>
    <w:p w14:paraId="4B2350C7"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Închiderea balcoanelor şi/sau a logiilor cu tâmplărie termoizolantă, inclusiv izolarea termică a parapeţilor</w:t>
      </w:r>
    </w:p>
    <w:p w14:paraId="24DEBB9C"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Izolarea termică la pereții și tavanele comune cu apartamentele, în zona de acces în casa scării cu sistem termoizolant, cu grosimea stratului termoizolant de 10 cm</w:t>
      </w:r>
    </w:p>
    <w:p w14:paraId="0FD016EF"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3D0C7856"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Reabilitarea/modernizarea instalației de iluminat din casele de scară prin înlocuirea circuitelor de iluminat deteriorate sau subdimensionate</w:t>
      </w:r>
    </w:p>
    <w:p w14:paraId="227146D9"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6EB7B0DF"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8094424"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Repararea trotuarelor de protecţie, în scopul eliminării infiltraţiilor la infrastructura blocului de locuinţe, în zonele degradate</w:t>
      </w:r>
    </w:p>
    <w:p w14:paraId="3687C68F"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11D93F9B"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5669E71D"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Repararea elementelor de construcţie ale faţadei care prezintă potenţial pericol de desprindere şi/sau afectează funcţionalitatea clădirii</w:t>
      </w:r>
    </w:p>
    <w:p w14:paraId="37D41A27" w14:textId="77777777" w:rsidR="007E6508" w:rsidRPr="007564FD" w:rsidRDefault="007E6508" w:rsidP="007E6508">
      <w:pPr>
        <w:pStyle w:val="ListParagraph"/>
        <w:numPr>
          <w:ilvl w:val="0"/>
          <w:numId w:val="1"/>
        </w:numPr>
        <w:spacing w:line="240" w:lineRule="auto"/>
        <w:ind w:left="567"/>
        <w:jc w:val="both"/>
        <w:rPr>
          <w:rFonts w:ascii="Times New Roman" w:hAnsi="Times New Roman" w:cs="Times New Roman"/>
          <w:sz w:val="28"/>
          <w:szCs w:val="28"/>
        </w:rPr>
      </w:pPr>
      <w:r w:rsidRPr="007564FD">
        <w:rPr>
          <w:rFonts w:ascii="Times New Roman" w:hAnsi="Times New Roman" w:cs="Times New Roman"/>
          <w:sz w:val="28"/>
          <w:szCs w:val="28"/>
        </w:rPr>
        <w:t>Repararea elementelor de construcţie ale faţadei care prezintă potenţial pericol de desprindere şi/sau afectează funcţionalitatea clădirii</w:t>
      </w:r>
      <w:bookmarkEnd w:id="0"/>
    </w:p>
    <w:p w14:paraId="5EFC231B" w14:textId="77777777" w:rsidR="007E6508" w:rsidRDefault="007E6508" w:rsidP="007E6508">
      <w:pPr>
        <w:spacing w:line="240" w:lineRule="auto"/>
        <w:rPr>
          <w:sz w:val="28"/>
          <w:szCs w:val="28"/>
          <w:lang w:val="it-IT"/>
        </w:rPr>
      </w:pPr>
    </w:p>
    <w:p w14:paraId="09DBB3F4" w14:textId="77777777" w:rsidR="007E6508" w:rsidRDefault="007E6508" w:rsidP="007E6508">
      <w:pPr>
        <w:spacing w:line="240" w:lineRule="auto"/>
        <w:rPr>
          <w:sz w:val="28"/>
          <w:szCs w:val="28"/>
          <w:lang w:val="it-IT"/>
        </w:rPr>
      </w:pPr>
    </w:p>
    <w:p w14:paraId="4C9355C1" w14:textId="77777777" w:rsidR="007E6508" w:rsidRDefault="007E6508" w:rsidP="007E6508">
      <w:pPr>
        <w:spacing w:line="240" w:lineRule="auto"/>
        <w:rPr>
          <w:sz w:val="28"/>
          <w:szCs w:val="28"/>
          <w:lang w:val="it-IT"/>
        </w:rPr>
      </w:pPr>
    </w:p>
    <w:p w14:paraId="4B4DBD35" w14:textId="77777777" w:rsidR="007E6508" w:rsidRDefault="007E6508" w:rsidP="007E6508">
      <w:pPr>
        <w:spacing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E6508" w:rsidRPr="009A41E3" w14:paraId="41FFB2DC" w14:textId="77777777" w:rsidTr="0084274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6069E8" w14:textId="77777777" w:rsidR="007E6508" w:rsidRPr="009A41E3" w:rsidRDefault="007E6508" w:rsidP="0084274D">
            <w:pPr>
              <w:spacing w:after="0" w:line="240" w:lineRule="auto"/>
              <w:ind w:right="28"/>
              <w:rPr>
                <w:b/>
                <w:bCs/>
                <w:color w:val="000000" w:themeColor="text1"/>
                <w:sz w:val="28"/>
                <w:szCs w:val="28"/>
                <w:lang w:val="ro-RO" w:eastAsia="ro-RO"/>
              </w:rPr>
            </w:pPr>
            <w:r w:rsidRPr="009A41E3">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DCB9FFB" w14:textId="77777777" w:rsidR="007E6508" w:rsidRPr="009A41E3" w:rsidRDefault="007E6508" w:rsidP="0084274D">
            <w:pPr>
              <w:spacing w:after="0" w:line="240" w:lineRule="auto"/>
              <w:jc w:val="center"/>
              <w:rPr>
                <w:b/>
                <w:bCs/>
                <w:color w:val="000000" w:themeColor="text1"/>
                <w:sz w:val="28"/>
                <w:szCs w:val="28"/>
                <w:lang w:val="ro-RO" w:eastAsia="ro-RO"/>
              </w:rPr>
            </w:pPr>
            <w:r w:rsidRPr="009A41E3">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7C52A96" w14:textId="77777777" w:rsidR="007E6508" w:rsidRPr="009A41E3" w:rsidRDefault="007E6508" w:rsidP="0084274D">
            <w:pPr>
              <w:spacing w:after="0" w:line="240" w:lineRule="auto"/>
              <w:jc w:val="center"/>
              <w:rPr>
                <w:b/>
                <w:bCs/>
                <w:color w:val="000000" w:themeColor="text1"/>
                <w:sz w:val="28"/>
                <w:szCs w:val="28"/>
                <w:lang w:val="ro-RO" w:eastAsia="ro-RO"/>
              </w:rPr>
            </w:pPr>
            <w:r w:rsidRPr="009A41E3">
              <w:rPr>
                <w:b/>
                <w:bCs/>
                <w:color w:val="000000" w:themeColor="text1"/>
                <w:sz w:val="28"/>
                <w:szCs w:val="28"/>
                <w:lang w:val="ro-RO" w:eastAsia="ro-RO"/>
              </w:rPr>
              <w:t xml:space="preserve">Valoare la  finalul implementării proiectului </w:t>
            </w:r>
          </w:p>
        </w:tc>
      </w:tr>
      <w:tr w:rsidR="007E6508" w:rsidRPr="009A41E3" w14:paraId="0125A2E4" w14:textId="77777777" w:rsidTr="0084274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7D8355" w14:textId="77777777" w:rsidR="007E6508" w:rsidRPr="009A41E3" w:rsidRDefault="007E6508" w:rsidP="0084274D">
            <w:pPr>
              <w:spacing w:after="0" w:line="240" w:lineRule="auto"/>
              <w:rPr>
                <w:color w:val="000000" w:themeColor="text1"/>
                <w:sz w:val="28"/>
                <w:szCs w:val="28"/>
                <w:lang w:val="ro-RO" w:eastAsia="ro-RO"/>
              </w:rPr>
            </w:pPr>
            <w:r w:rsidRPr="009A41E3">
              <w:rPr>
                <w:color w:val="000000" w:themeColor="text1"/>
                <w:sz w:val="28"/>
                <w:szCs w:val="28"/>
                <w:lang w:val="ro-RO" w:eastAsia="ro-RO"/>
              </w:rPr>
              <w:t>Consumul anual specific de energie finală pentru încălzire (kWh/m</w:t>
            </w:r>
            <w:r w:rsidRPr="009A41E3">
              <w:rPr>
                <w:color w:val="000000" w:themeColor="text1"/>
                <w:sz w:val="28"/>
                <w:szCs w:val="28"/>
                <w:vertAlign w:val="superscript"/>
                <w:lang w:val="ro-RO" w:eastAsia="ro-RO"/>
              </w:rPr>
              <w:t>2</w:t>
            </w:r>
            <w:r w:rsidRPr="009A41E3">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240C73"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FE76F0"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62,88</w:t>
            </w:r>
          </w:p>
        </w:tc>
      </w:tr>
      <w:tr w:rsidR="007E6508" w:rsidRPr="009A41E3" w14:paraId="15D4F6D3" w14:textId="77777777" w:rsidTr="0084274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E6C62B" w14:textId="77777777" w:rsidR="007E6508" w:rsidRPr="009A41E3" w:rsidRDefault="007E6508" w:rsidP="0084274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(kWh/m</w:t>
            </w:r>
            <w:r w:rsidRPr="009A41E3">
              <w:rPr>
                <w:rFonts w:ascii="Times New Roman" w:hAnsi="Times New Roman" w:cs="Times New Roman"/>
                <w:color w:val="000000" w:themeColor="text1"/>
                <w:sz w:val="28"/>
                <w:szCs w:val="28"/>
                <w:vertAlign w:val="superscript"/>
              </w:rPr>
              <w:t>2</w:t>
            </w:r>
            <w:r w:rsidRPr="009A41E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F4D2215"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216964"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179,36</w:t>
            </w:r>
          </w:p>
        </w:tc>
      </w:tr>
      <w:tr w:rsidR="007E6508" w:rsidRPr="009A41E3" w14:paraId="26B2DE8E" w14:textId="77777777" w:rsidTr="0084274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60DB9CC" w14:textId="77777777" w:rsidR="007E6508" w:rsidRPr="009A41E3" w:rsidRDefault="007E6508" w:rsidP="0084274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79D82F9"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70B68FAD"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172,15</w:t>
            </w:r>
          </w:p>
        </w:tc>
      </w:tr>
      <w:tr w:rsidR="007E6508" w:rsidRPr="009A41E3" w14:paraId="6F5DF122" w14:textId="77777777" w:rsidTr="0084274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710A70F" w14:textId="77777777" w:rsidR="007E6508" w:rsidRPr="009A41E3" w:rsidRDefault="007E6508" w:rsidP="0084274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E5AA24"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9BCE9B0"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7,21</w:t>
            </w:r>
          </w:p>
        </w:tc>
      </w:tr>
      <w:tr w:rsidR="007E6508" w:rsidRPr="009A41E3" w14:paraId="7B2DDE75" w14:textId="77777777" w:rsidTr="0084274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F88A49" w14:textId="77777777" w:rsidR="007E6508" w:rsidRPr="009A41E3" w:rsidRDefault="007E6508" w:rsidP="0084274D">
            <w:pPr>
              <w:pStyle w:val="Default"/>
              <w:ind w:right="447"/>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Nivel anual estimat al gazelor cu efect de seră (echivalent kgCO2/ m</w:t>
            </w:r>
            <w:r w:rsidRPr="009A41E3">
              <w:rPr>
                <w:rFonts w:ascii="Times New Roman" w:hAnsi="Times New Roman" w:cs="Times New Roman"/>
                <w:color w:val="000000" w:themeColor="text1"/>
                <w:sz w:val="28"/>
                <w:szCs w:val="28"/>
                <w:vertAlign w:val="superscript"/>
              </w:rPr>
              <w:t>2</w:t>
            </w:r>
            <w:r w:rsidRPr="009A41E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DDB969"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1EAF09"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28,93</w:t>
            </w:r>
          </w:p>
        </w:tc>
      </w:tr>
    </w:tbl>
    <w:p w14:paraId="29BC27D1" w14:textId="77777777" w:rsidR="007E6508" w:rsidRPr="009A41E3" w:rsidRDefault="007E6508" w:rsidP="007E6508">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7E6508" w:rsidRPr="009A41E3" w14:paraId="6560245F" w14:textId="77777777" w:rsidTr="0084274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2503366" w14:textId="77777777" w:rsidR="007E6508" w:rsidRPr="009A41E3" w:rsidRDefault="007E6508" w:rsidP="0084274D">
            <w:pPr>
              <w:spacing w:after="0" w:line="240" w:lineRule="auto"/>
              <w:ind w:right="28"/>
              <w:rPr>
                <w:b/>
                <w:bCs/>
                <w:color w:val="000000" w:themeColor="text1"/>
                <w:sz w:val="28"/>
                <w:szCs w:val="28"/>
                <w:lang w:val="ro-RO" w:eastAsia="ro-RO"/>
              </w:rPr>
            </w:pPr>
            <w:r w:rsidRPr="009A41E3">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0ABEB" w14:textId="77777777" w:rsidR="007E6508" w:rsidRPr="009A41E3" w:rsidRDefault="007E6508" w:rsidP="0084274D">
            <w:pPr>
              <w:spacing w:after="0" w:line="240" w:lineRule="auto"/>
              <w:jc w:val="center"/>
              <w:rPr>
                <w:b/>
                <w:bCs/>
                <w:color w:val="000000" w:themeColor="text1"/>
                <w:sz w:val="28"/>
                <w:szCs w:val="28"/>
                <w:lang w:val="ro-RO" w:eastAsia="ro-RO"/>
              </w:rPr>
            </w:pPr>
            <w:r w:rsidRPr="009A41E3">
              <w:rPr>
                <w:b/>
                <w:bCs/>
                <w:color w:val="000000" w:themeColor="text1"/>
                <w:sz w:val="28"/>
                <w:szCs w:val="28"/>
                <w:lang w:val="ro-RO" w:eastAsia="ro-RO"/>
              </w:rPr>
              <w:t>Valoare indicator</w:t>
            </w:r>
          </w:p>
        </w:tc>
      </w:tr>
      <w:tr w:rsidR="007E6508" w:rsidRPr="009A41E3" w14:paraId="3220DC9E" w14:textId="77777777" w:rsidTr="0084274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4602DB9" w14:textId="77777777" w:rsidR="007E6508" w:rsidRPr="009A41E3" w:rsidRDefault="007E6508" w:rsidP="0084274D">
            <w:pPr>
              <w:spacing w:after="0" w:line="240" w:lineRule="auto"/>
              <w:rPr>
                <w:color w:val="000000" w:themeColor="text1"/>
                <w:sz w:val="28"/>
                <w:szCs w:val="28"/>
                <w:lang w:val="ro-RO" w:eastAsia="ro-RO"/>
              </w:rPr>
            </w:pPr>
            <w:r w:rsidRPr="009A41E3">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C6EA8C" w14:textId="77777777" w:rsidR="007E6508" w:rsidRPr="009A41E3" w:rsidRDefault="007E6508" w:rsidP="0084274D">
            <w:pPr>
              <w:spacing w:after="0" w:line="240" w:lineRule="auto"/>
              <w:jc w:val="right"/>
              <w:rPr>
                <w:b/>
                <w:noProof/>
                <w:color w:val="000000" w:themeColor="text1"/>
                <w:sz w:val="28"/>
                <w:szCs w:val="28"/>
                <w:lang w:val="ro-RO" w:eastAsia="ro-RO"/>
              </w:rPr>
            </w:pPr>
            <w:r w:rsidRPr="009A41E3">
              <w:rPr>
                <w:b/>
                <w:noProof/>
                <w:color w:val="000000" w:themeColor="text1"/>
                <w:sz w:val="28"/>
                <w:szCs w:val="28"/>
                <w:lang w:val="ro-RO" w:eastAsia="ro-RO"/>
              </w:rPr>
              <w:t>462.132,00</w:t>
            </w:r>
          </w:p>
        </w:tc>
      </w:tr>
    </w:tbl>
    <w:p w14:paraId="31BC787C" w14:textId="77777777" w:rsidR="007E6508" w:rsidRDefault="007E6508" w:rsidP="007E6508">
      <w:pPr>
        <w:spacing w:line="240" w:lineRule="auto"/>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2666F3C8" w14:textId="77777777" w:rsidR="007E6508" w:rsidRDefault="007E6508" w:rsidP="007E6508">
      <w:pPr>
        <w:spacing w:line="240" w:lineRule="auto"/>
        <w:rPr>
          <w:sz w:val="28"/>
          <w:szCs w:val="28"/>
          <w:lang w:val="it-IT"/>
        </w:rPr>
      </w:pPr>
    </w:p>
    <w:p w14:paraId="56A3051D" w14:textId="77777777" w:rsidR="007E6508" w:rsidRDefault="007E6508" w:rsidP="007E6508">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E6508" w:rsidRPr="00C64746" w14:paraId="53668BA2" w14:textId="77777777" w:rsidTr="0084274D">
        <w:trPr>
          <w:jc w:val="center"/>
        </w:trPr>
        <w:tc>
          <w:tcPr>
            <w:tcW w:w="3138" w:type="dxa"/>
          </w:tcPr>
          <w:p w14:paraId="470811FC" w14:textId="77777777" w:rsidR="007E6508" w:rsidRPr="00C64746" w:rsidRDefault="007E6508" w:rsidP="0084274D">
            <w:pPr>
              <w:spacing w:after="0" w:line="240" w:lineRule="auto"/>
              <w:jc w:val="center"/>
              <w:rPr>
                <w:sz w:val="28"/>
                <w:szCs w:val="28"/>
                <w:lang w:val="it-IT"/>
              </w:rPr>
            </w:pPr>
            <w:r w:rsidRPr="00C64746">
              <w:rPr>
                <w:sz w:val="28"/>
                <w:szCs w:val="28"/>
                <w:lang w:val="it-IT"/>
              </w:rPr>
              <w:t>Primar</w:t>
            </w:r>
          </w:p>
          <w:p w14:paraId="1BA6D255" w14:textId="77777777" w:rsidR="007E6508" w:rsidRPr="00C64746" w:rsidRDefault="007E6508" w:rsidP="0084274D">
            <w:pPr>
              <w:spacing w:after="0" w:line="240" w:lineRule="auto"/>
              <w:jc w:val="center"/>
              <w:rPr>
                <w:sz w:val="28"/>
                <w:szCs w:val="28"/>
                <w:lang w:val="it-IT"/>
              </w:rPr>
            </w:pPr>
            <w:r w:rsidRPr="00C64746">
              <w:rPr>
                <w:sz w:val="28"/>
                <w:szCs w:val="28"/>
                <w:lang w:val="ro-RO"/>
              </w:rPr>
              <w:t>Kereskényi Gábor</w:t>
            </w:r>
          </w:p>
        </w:tc>
        <w:tc>
          <w:tcPr>
            <w:tcW w:w="3138" w:type="dxa"/>
          </w:tcPr>
          <w:p w14:paraId="69DFBBED" w14:textId="77777777" w:rsidR="007E6508" w:rsidRPr="00C64746" w:rsidRDefault="007E6508" w:rsidP="0084274D">
            <w:pPr>
              <w:spacing w:after="0" w:line="240" w:lineRule="auto"/>
              <w:jc w:val="center"/>
              <w:rPr>
                <w:sz w:val="28"/>
                <w:szCs w:val="28"/>
                <w:lang w:val="it-IT"/>
              </w:rPr>
            </w:pPr>
          </w:p>
        </w:tc>
        <w:tc>
          <w:tcPr>
            <w:tcW w:w="3139" w:type="dxa"/>
          </w:tcPr>
          <w:p w14:paraId="47396404" w14:textId="77777777" w:rsidR="007E6508" w:rsidRPr="00C64746" w:rsidRDefault="007E6508" w:rsidP="0084274D">
            <w:pPr>
              <w:spacing w:after="0" w:line="240" w:lineRule="auto"/>
              <w:jc w:val="center"/>
              <w:rPr>
                <w:sz w:val="28"/>
                <w:szCs w:val="28"/>
                <w:lang w:val="it-IT"/>
              </w:rPr>
            </w:pPr>
            <w:r w:rsidRPr="00C64746">
              <w:rPr>
                <w:sz w:val="28"/>
                <w:szCs w:val="28"/>
                <w:lang w:val="it-IT"/>
              </w:rPr>
              <w:t>Şef serviciu</w:t>
            </w:r>
          </w:p>
          <w:p w14:paraId="7FBEBD06" w14:textId="77777777" w:rsidR="007E6508" w:rsidRPr="00C64746" w:rsidRDefault="007E6508" w:rsidP="0084274D">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2007BAD1" w14:textId="77777777" w:rsidR="007E6508" w:rsidRPr="002D05D6" w:rsidRDefault="007E6508" w:rsidP="007E6508">
      <w:pPr>
        <w:spacing w:line="240" w:lineRule="auto"/>
        <w:ind w:firstLine="720"/>
        <w:rPr>
          <w:sz w:val="28"/>
          <w:szCs w:val="28"/>
          <w:lang w:val="it-IT"/>
        </w:rPr>
      </w:pPr>
    </w:p>
    <w:p w14:paraId="29F7F001" w14:textId="7C55AD85" w:rsidR="0077057E" w:rsidRDefault="0077057E"/>
    <w:p w14:paraId="5C2FC526" w14:textId="1E4A6E63" w:rsidR="00620BD4" w:rsidRDefault="00620BD4" w:rsidP="00620BD4">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7DEEBDD9" w14:textId="77777777" w:rsidR="00620BD4" w:rsidRDefault="00620BD4"/>
    <w:sectPr w:rsidR="00620BD4"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49C9" w14:textId="77777777" w:rsidR="00711BDD" w:rsidRDefault="00711BDD">
      <w:pPr>
        <w:spacing w:after="0" w:line="240" w:lineRule="auto"/>
      </w:pPr>
      <w:r>
        <w:separator/>
      </w:r>
    </w:p>
  </w:endnote>
  <w:endnote w:type="continuationSeparator" w:id="0">
    <w:p w14:paraId="4E082736" w14:textId="77777777" w:rsidR="00711BDD" w:rsidRDefault="0071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47996"/>
      <w:docPartObj>
        <w:docPartGallery w:val="Page Numbers (Bottom of Page)"/>
        <w:docPartUnique/>
      </w:docPartObj>
    </w:sdtPr>
    <w:sdtEndPr/>
    <w:sdtContent>
      <w:p w14:paraId="6396AC28" w14:textId="77777777" w:rsidR="003D02DA" w:rsidRDefault="007E6508">
        <w:pPr>
          <w:pStyle w:val="Footer"/>
          <w:jc w:val="center"/>
        </w:pPr>
        <w:r>
          <w:fldChar w:fldCharType="begin"/>
        </w:r>
        <w:r>
          <w:instrText>PAGE   \* MERGEFORMAT</w:instrText>
        </w:r>
        <w:r>
          <w:fldChar w:fldCharType="separate"/>
        </w:r>
        <w:r>
          <w:rPr>
            <w:lang w:val="ro-RO"/>
          </w:rPr>
          <w:t>2</w:t>
        </w:r>
        <w:r>
          <w:fldChar w:fldCharType="end"/>
        </w:r>
      </w:p>
    </w:sdtContent>
  </w:sdt>
  <w:p w14:paraId="26575845" w14:textId="77777777" w:rsidR="003D02DA" w:rsidRDefault="0071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46B0" w14:textId="77777777" w:rsidR="00711BDD" w:rsidRDefault="00711BDD">
      <w:pPr>
        <w:spacing w:after="0" w:line="240" w:lineRule="auto"/>
      </w:pPr>
      <w:r>
        <w:separator/>
      </w:r>
    </w:p>
  </w:footnote>
  <w:footnote w:type="continuationSeparator" w:id="0">
    <w:p w14:paraId="0D184271" w14:textId="77777777" w:rsidR="00711BDD" w:rsidRDefault="00711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B2C6A"/>
    <w:multiLevelType w:val="hybridMultilevel"/>
    <w:tmpl w:val="35C2DD2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DF"/>
    <w:rsid w:val="00097274"/>
    <w:rsid w:val="0056205D"/>
    <w:rsid w:val="00620BD4"/>
    <w:rsid w:val="00711BDD"/>
    <w:rsid w:val="0077057E"/>
    <w:rsid w:val="007E6508"/>
    <w:rsid w:val="00BE69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3A5C"/>
  <w15:chartTrackingRefBased/>
  <w15:docId w15:val="{0D2D5CA8-531C-4623-80CA-99BE7527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08"/>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6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08"/>
    <w:rPr>
      <w:rFonts w:ascii="Times New Roman" w:eastAsia="Calibri" w:hAnsi="Times New Roman" w:cs="Times New Roman"/>
      <w:sz w:val="24"/>
      <w:lang w:val="en-US"/>
    </w:rPr>
  </w:style>
  <w:style w:type="paragraph" w:styleId="ListParagraph">
    <w:name w:val="List Paragraph"/>
    <w:basedOn w:val="Normal"/>
    <w:uiPriority w:val="34"/>
    <w:qFormat/>
    <w:rsid w:val="007E6508"/>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7E6508"/>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508"/>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5</cp:revision>
  <cp:lastPrinted>2022-04-07T10:07:00Z</cp:lastPrinted>
  <dcterms:created xsi:type="dcterms:W3CDTF">2022-04-07T06:06:00Z</dcterms:created>
  <dcterms:modified xsi:type="dcterms:W3CDTF">2022-04-07T10:56:00Z</dcterms:modified>
</cp:coreProperties>
</file>