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976EE" w14:textId="5E4DF3DC" w:rsidR="00F76546" w:rsidRPr="008607B3" w:rsidRDefault="006A1947" w:rsidP="006A194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607B3">
        <w:rPr>
          <w:rFonts w:ascii="Times New Roman" w:hAnsi="Times New Roman"/>
          <w:bCs/>
          <w:sz w:val="28"/>
          <w:szCs w:val="28"/>
          <w:lang w:val="ro-RO"/>
        </w:rPr>
        <w:t xml:space="preserve">În conformitate cu art. 45 alin. (13) propunem prețurile de valorificare pentru anul 2021 pentru masa lemnoasă fasonată la drum auto, </w:t>
      </w:r>
      <w:r w:rsidRPr="008607B3">
        <w:rPr>
          <w:rFonts w:ascii="Times New Roman" w:hAnsi="Times New Roman"/>
          <w:sz w:val="28"/>
          <w:szCs w:val="28"/>
          <w:lang w:val="ro-RO"/>
        </w:rPr>
        <w:t xml:space="preserve">din sortimentul lemn de foc si lemn lucru CR, pe specii, </w:t>
      </w:r>
      <w:r w:rsidRPr="008607B3">
        <w:rPr>
          <w:rFonts w:ascii="Times New Roman" w:hAnsi="Times New Roman"/>
          <w:bCs/>
          <w:sz w:val="28"/>
          <w:szCs w:val="28"/>
          <w:lang w:val="ro-RO"/>
        </w:rPr>
        <w:t>din fondul forestier administrat de Ocolul Silvic Satu Mare</w:t>
      </w:r>
      <w:r w:rsidRPr="008607B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607B3">
        <w:rPr>
          <w:rFonts w:ascii="Times New Roman" w:hAnsi="Times New Roman"/>
          <w:bCs/>
          <w:sz w:val="28"/>
          <w:szCs w:val="28"/>
          <w:lang w:val="ro-RO"/>
        </w:rPr>
        <w:t>conform listei de mai jos</w:t>
      </w:r>
      <w:r w:rsidRPr="008607B3">
        <w:rPr>
          <w:rFonts w:ascii="Times New Roman" w:hAnsi="Times New Roman"/>
          <w:sz w:val="28"/>
          <w:szCs w:val="28"/>
          <w:lang w:val="ro-RO"/>
        </w:rPr>
        <w:t>:</w:t>
      </w:r>
    </w:p>
    <w:tbl>
      <w:tblPr>
        <w:tblW w:w="1448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4189"/>
        <w:gridCol w:w="4963"/>
        <w:gridCol w:w="2429"/>
        <w:gridCol w:w="2221"/>
      </w:tblGrid>
      <w:tr w:rsidR="00F76546" w:rsidRPr="008607B3" w14:paraId="41C4877C" w14:textId="77777777" w:rsidTr="00F76546">
        <w:trPr>
          <w:trHeight w:val="270"/>
        </w:trPr>
        <w:tc>
          <w:tcPr>
            <w:tcW w:w="684" w:type="dxa"/>
            <w:vMerge w:val="restart"/>
          </w:tcPr>
          <w:p w14:paraId="0BD8C8C0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9A158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 w:val="restart"/>
          </w:tcPr>
          <w:p w14:paraId="303913EB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Specia</w:t>
            </w:r>
          </w:p>
        </w:tc>
        <w:tc>
          <w:tcPr>
            <w:tcW w:w="4963" w:type="dxa"/>
            <w:vMerge w:val="restart"/>
          </w:tcPr>
          <w:p w14:paraId="18BDEE79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Sortimentul</w:t>
            </w:r>
          </w:p>
        </w:tc>
        <w:tc>
          <w:tcPr>
            <w:tcW w:w="4650" w:type="dxa"/>
            <w:gridSpan w:val="2"/>
            <w:tcBorders>
              <w:bottom w:val="single" w:sz="4" w:space="0" w:color="auto"/>
            </w:tcBorders>
          </w:tcPr>
          <w:p w14:paraId="4972521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Valoare</w:t>
            </w:r>
          </w:p>
        </w:tc>
      </w:tr>
      <w:tr w:rsidR="00F76546" w:rsidRPr="008607B3" w14:paraId="3C8D9C9D" w14:textId="77777777" w:rsidTr="006A1947">
        <w:trPr>
          <w:trHeight w:val="70"/>
        </w:trPr>
        <w:tc>
          <w:tcPr>
            <w:tcW w:w="684" w:type="dxa"/>
            <w:vMerge/>
          </w:tcPr>
          <w:p w14:paraId="2B8E8A4C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</w:tcPr>
          <w:p w14:paraId="165C4ED1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vMerge/>
          </w:tcPr>
          <w:p w14:paraId="6E486D28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14:paraId="6B909170" w14:textId="77777777" w:rsidR="00F76546" w:rsidRPr="008607B3" w:rsidRDefault="00F76546" w:rsidP="00F76546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Lei/mc fără TVA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14:paraId="242863E9" w14:textId="222D8A23" w:rsidR="00F76546" w:rsidRPr="008607B3" w:rsidRDefault="00F76546" w:rsidP="00F76546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Lei/mc cu TVA</w:t>
            </w:r>
          </w:p>
        </w:tc>
      </w:tr>
      <w:tr w:rsidR="00F76546" w:rsidRPr="008607B3" w14:paraId="5B318642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FBE0B01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189" w:type="dxa"/>
            <w:vMerge w:val="restart"/>
            <w:vAlign w:val="center"/>
          </w:tcPr>
          <w:p w14:paraId="58B8E24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Răsinoase</w:t>
            </w:r>
            <w:proofErr w:type="spellEnd"/>
          </w:p>
          <w:p w14:paraId="47CDB17B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391EA6E8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67F5E959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134,45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6005D7B8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160</w:t>
            </w:r>
          </w:p>
        </w:tc>
      </w:tr>
      <w:tr w:rsidR="00F76546" w:rsidRPr="008607B3" w14:paraId="0F8E9F4B" w14:textId="77777777" w:rsidTr="006A1947">
        <w:trPr>
          <w:trHeight w:val="130"/>
        </w:trPr>
        <w:tc>
          <w:tcPr>
            <w:tcW w:w="684" w:type="dxa"/>
            <w:vMerge/>
            <w:vAlign w:val="center"/>
          </w:tcPr>
          <w:p w14:paraId="15F878B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783B6C5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1AB8A62B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38CB81A2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84,03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7238FEA9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</w:p>
        </w:tc>
      </w:tr>
      <w:tr w:rsidR="00F76546" w:rsidRPr="008607B3" w14:paraId="1F31473D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6D81CA7F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189" w:type="dxa"/>
            <w:vMerge w:val="restart"/>
            <w:vAlign w:val="center"/>
          </w:tcPr>
          <w:p w14:paraId="27426A91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Fag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39FEFD0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063E439A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176,47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1DB40BB1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210</w:t>
            </w:r>
          </w:p>
        </w:tc>
      </w:tr>
      <w:tr w:rsidR="00F76546" w:rsidRPr="008607B3" w14:paraId="13CB387C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4086C301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0CF3E10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030C46A0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08FE1862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16FA1A2F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478CA8B9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7642B93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189" w:type="dxa"/>
            <w:vMerge w:val="restart"/>
            <w:vAlign w:val="center"/>
          </w:tcPr>
          <w:p w14:paraId="78C82BBC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Stejar , gorun, 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3242CF19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480FB90A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218,49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1E3A8F00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260</w:t>
            </w:r>
          </w:p>
        </w:tc>
      </w:tr>
      <w:tr w:rsidR="00F76546" w:rsidRPr="008607B3" w14:paraId="14F4FEBE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7A31A41C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5D71BD62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6F7B322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643F6B3D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7001ED2E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0350BB9D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5DD6A69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189" w:type="dxa"/>
            <w:vMerge w:val="restart"/>
            <w:vAlign w:val="center"/>
          </w:tcPr>
          <w:p w14:paraId="6A47F82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Cer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6607472E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4042A234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184,87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57556D58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220</w:t>
            </w:r>
          </w:p>
        </w:tc>
      </w:tr>
      <w:tr w:rsidR="00F76546" w:rsidRPr="008607B3" w14:paraId="24DEBFD6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4B3A2610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10D31E3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0E3AEBC4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05737222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38EE311C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6D3B75A3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0724538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189" w:type="dxa"/>
            <w:vMerge w:val="restart"/>
            <w:vAlign w:val="center"/>
          </w:tcPr>
          <w:p w14:paraId="0AD62BF8" w14:textId="72E43DB8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Salc</w:t>
            </w:r>
            <w:r w:rsidR="008607B3">
              <w:rPr>
                <w:rFonts w:ascii="Times New Roman" w:hAnsi="Times New Roman"/>
                <w:sz w:val="24"/>
                <w:szCs w:val="24"/>
                <w:lang w:val="ro-RO"/>
              </w:rPr>
              <w:t>â</w:t>
            </w: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55618C8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1A59032B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226,89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63DB4037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270</w:t>
            </w:r>
          </w:p>
        </w:tc>
      </w:tr>
      <w:tr w:rsidR="00F76546" w:rsidRPr="008607B3" w14:paraId="3CE2CD02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1D1CF17E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7A692B3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2FACB36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0F6B5428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23883EED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04137B4B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63DFA76E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189" w:type="dxa"/>
            <w:vMerge w:val="restart"/>
            <w:vAlign w:val="center"/>
          </w:tcPr>
          <w:p w14:paraId="162721C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Cireş</w:t>
            </w:r>
            <w:proofErr w:type="spellEnd"/>
          </w:p>
        </w:tc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7647513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290486B9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176,47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2DB140E6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210</w:t>
            </w:r>
          </w:p>
        </w:tc>
      </w:tr>
      <w:tr w:rsidR="00F76546" w:rsidRPr="008607B3" w14:paraId="2F0C3DB1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7A6DA78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5BC0406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48EE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B370C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760A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6EA421F2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03A783E6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189" w:type="dxa"/>
            <w:vMerge w:val="restart"/>
            <w:vAlign w:val="center"/>
          </w:tcPr>
          <w:p w14:paraId="4C7BC4C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Paltin</w:t>
            </w:r>
          </w:p>
          <w:p w14:paraId="4339D9CB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51B1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DDD42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176,47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E0FE1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210</w:t>
            </w:r>
          </w:p>
        </w:tc>
      </w:tr>
      <w:tr w:rsidR="00F76546" w:rsidRPr="008607B3" w14:paraId="700879C3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29B740BE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763B8E5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81B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A341B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DB57E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16633DB6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03429A0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189" w:type="dxa"/>
            <w:vMerge w:val="restart"/>
            <w:vAlign w:val="center"/>
          </w:tcPr>
          <w:p w14:paraId="3C2D954C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Frasin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56AF6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53DDB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218,49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AFE9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260</w:t>
            </w:r>
          </w:p>
        </w:tc>
      </w:tr>
      <w:tr w:rsidR="00F76546" w:rsidRPr="008607B3" w14:paraId="75716E6C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78432E34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44507ED8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F0B58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317DE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784E1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30F91808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1BA6186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189" w:type="dxa"/>
            <w:vMerge w:val="restart"/>
            <w:vAlign w:val="center"/>
          </w:tcPr>
          <w:p w14:paraId="4E02E1F0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Tei</w:t>
            </w:r>
          </w:p>
          <w:p w14:paraId="5FA288B4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35D6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2DD21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134,45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A3B7E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160</w:t>
            </w:r>
          </w:p>
        </w:tc>
      </w:tr>
      <w:tr w:rsidR="00F76546" w:rsidRPr="008607B3" w14:paraId="6A3E9B45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5F1BBAC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45D95642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F0662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4A05D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109,24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8E38E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130</w:t>
            </w:r>
          </w:p>
        </w:tc>
      </w:tr>
      <w:tr w:rsidR="00F76546" w:rsidRPr="008607B3" w14:paraId="3890D3CC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7ED79A5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189" w:type="dxa"/>
            <w:vMerge w:val="restart"/>
            <w:vAlign w:val="center"/>
          </w:tcPr>
          <w:p w14:paraId="30496B4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Plop</w:t>
            </w:r>
          </w:p>
          <w:p w14:paraId="0BA6458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5729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97641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134,45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A50F6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160</w:t>
            </w:r>
          </w:p>
        </w:tc>
      </w:tr>
      <w:tr w:rsidR="00F76546" w:rsidRPr="008607B3" w14:paraId="53F8A65F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2719F83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2A53941F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629B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A99F5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84,03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1355A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</w:p>
        </w:tc>
      </w:tr>
      <w:tr w:rsidR="00F76546" w:rsidRPr="008607B3" w14:paraId="0F593582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05135AE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189" w:type="dxa"/>
            <w:vMerge w:val="restart"/>
            <w:vAlign w:val="center"/>
          </w:tcPr>
          <w:p w14:paraId="529372A9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Diverse tari</w:t>
            </w:r>
          </w:p>
          <w:p w14:paraId="7DA2AB50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307CF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F71D4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176,47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EC5DB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210</w:t>
            </w:r>
          </w:p>
        </w:tc>
      </w:tr>
      <w:tr w:rsidR="00F76546" w:rsidRPr="008607B3" w14:paraId="1D721047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6C66729F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31483905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04703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121E4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168,07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E25EE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</w:p>
        </w:tc>
      </w:tr>
      <w:tr w:rsidR="00F76546" w:rsidRPr="008607B3" w14:paraId="4DD80747" w14:textId="77777777" w:rsidTr="00F76546">
        <w:trPr>
          <w:trHeight w:val="161"/>
        </w:trPr>
        <w:tc>
          <w:tcPr>
            <w:tcW w:w="684" w:type="dxa"/>
            <w:vMerge w:val="restart"/>
            <w:vAlign w:val="center"/>
          </w:tcPr>
          <w:p w14:paraId="3BE72E2A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189" w:type="dxa"/>
            <w:vMerge w:val="restart"/>
            <w:vAlign w:val="center"/>
          </w:tcPr>
          <w:p w14:paraId="2EE2C7D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Diverse moi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960FD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Lemn </w:t>
            </w:r>
            <w:proofErr w:type="spellStart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construcţii</w:t>
            </w:r>
            <w:proofErr w:type="spellEnd"/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rurale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ABA9A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134,45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586FA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160</w:t>
            </w:r>
          </w:p>
        </w:tc>
      </w:tr>
      <w:tr w:rsidR="00F76546" w:rsidRPr="008607B3" w14:paraId="2058AEBC" w14:textId="77777777" w:rsidTr="00F76546">
        <w:trPr>
          <w:trHeight w:val="161"/>
        </w:trPr>
        <w:tc>
          <w:tcPr>
            <w:tcW w:w="684" w:type="dxa"/>
            <w:vMerge/>
            <w:vAlign w:val="center"/>
          </w:tcPr>
          <w:p w14:paraId="739BFC57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89" w:type="dxa"/>
            <w:vMerge/>
            <w:vAlign w:val="center"/>
          </w:tcPr>
          <w:p w14:paraId="422C95BC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vAlign w:val="center"/>
          </w:tcPr>
          <w:p w14:paraId="43791826" w14:textId="77777777" w:rsidR="00F76546" w:rsidRPr="008607B3" w:rsidRDefault="00F76546" w:rsidP="008F38FE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17A05541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84,03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14:paraId="7CF36438" w14:textId="77777777" w:rsidR="00F76546" w:rsidRPr="008607B3" w:rsidRDefault="00F76546" w:rsidP="00F76546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07B3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</w:p>
        </w:tc>
      </w:tr>
    </w:tbl>
    <w:p w14:paraId="6EAD78D2" w14:textId="77777777" w:rsidR="006A1947" w:rsidRPr="008607B3" w:rsidRDefault="006A1947" w:rsidP="006A1947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6A1947" w:rsidRPr="008607B3" w:rsidSect="006A19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9BD9E" w14:textId="77777777" w:rsidR="003B7ABF" w:rsidRDefault="003B7ABF" w:rsidP="002F3842">
      <w:pPr>
        <w:spacing w:after="0" w:line="240" w:lineRule="auto"/>
      </w:pPr>
      <w:r>
        <w:separator/>
      </w:r>
    </w:p>
  </w:endnote>
  <w:endnote w:type="continuationSeparator" w:id="0">
    <w:p w14:paraId="763931DF" w14:textId="77777777" w:rsidR="003B7ABF" w:rsidRDefault="003B7ABF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C73F0" w14:textId="77777777" w:rsidR="00D23E0A" w:rsidRDefault="00D23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3B211" w14:textId="77777777" w:rsidR="006A1947" w:rsidRPr="002F3842" w:rsidRDefault="006A1947" w:rsidP="00C0185B">
    <w:pPr>
      <w:spacing w:after="0" w:line="240" w:lineRule="auto"/>
      <w:ind w:left="696" w:firstLine="720"/>
      <w:rPr>
        <w:rFonts w:ascii="Times New Roman" w:eastAsia="Times New Roman" w:hAnsi="Times New Roman"/>
        <w:sz w:val="26"/>
        <w:szCs w:val="26"/>
        <w:lang w:val="ro-RO"/>
      </w:rPr>
    </w:pPr>
    <w:r w:rsidRPr="00F76546">
      <w:rPr>
        <w:rFonts w:ascii="Times New Roman" w:eastAsia="Times New Roman" w:hAnsi="Times New Roman"/>
        <w:sz w:val="24"/>
        <w:szCs w:val="24"/>
        <w:lang w:val="en-US"/>
      </w:rPr>
      <w:t>Primar</w:t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  <w:t xml:space="preserve">          </w:t>
    </w:r>
    <w:proofErr w:type="spellStart"/>
    <w:r w:rsidRPr="00F76546">
      <w:rPr>
        <w:rFonts w:ascii="Times New Roman" w:eastAsia="Times New Roman" w:hAnsi="Times New Roman"/>
        <w:sz w:val="24"/>
        <w:szCs w:val="24"/>
        <w:lang w:val="ro-RO"/>
      </w:rPr>
      <w:t>Şef</w:t>
    </w:r>
    <w:proofErr w:type="spellEnd"/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Serviciu Fond Funciar și Legile Proprietății</w:t>
    </w:r>
    <w:r w:rsidRPr="00643C7E">
      <w:rPr>
        <w:rFonts w:ascii="Times New Roman" w:eastAsia="Times New Roman" w:hAnsi="Times New Roman"/>
        <w:sz w:val="26"/>
        <w:szCs w:val="26"/>
        <w:lang w:val="hu-HU"/>
      </w:rPr>
      <w:t xml:space="preserve">             KERESKÉNYI GÁBOR</w:t>
    </w:r>
    <w:r w:rsidRPr="00643C7E">
      <w:rPr>
        <w:rFonts w:ascii="Times New Roman" w:eastAsia="Times New Roman" w:hAnsi="Times New Roman"/>
        <w:sz w:val="26"/>
        <w:szCs w:val="26"/>
        <w:lang w:val="ro-RO"/>
      </w:rPr>
      <w:t xml:space="preserve">                                                                                                        ZIMAN DOINA                                                                                                        </w:t>
    </w:r>
  </w:p>
  <w:p w14:paraId="2AF1992A" w14:textId="5B95D94E" w:rsidR="00D23E0A" w:rsidRPr="00D23E0A" w:rsidRDefault="00D23E0A" w:rsidP="00C0185B">
    <w:pPr>
      <w:spacing w:line="240" w:lineRule="auto"/>
      <w:ind w:firstLine="720"/>
      <w:jc w:val="both"/>
      <w:textAlignment w:val="baseline"/>
      <w:rPr>
        <w:rFonts w:ascii="Times New Roman" w:eastAsia="Times New Roman" w:hAnsi="Times New Roman"/>
        <w:sz w:val="26"/>
        <w:szCs w:val="26"/>
        <w:lang w:val="hu-HU"/>
      </w:rPr>
    </w:pPr>
    <w:proofErr w:type="spellStart"/>
    <w:r w:rsidRPr="00D23E0A">
      <w:rPr>
        <w:rFonts w:ascii="Times New Roman" w:eastAsia="Times New Roman" w:hAnsi="Times New Roman"/>
        <w:sz w:val="26"/>
        <w:szCs w:val="26"/>
        <w:lang w:val="hu-HU"/>
      </w:rPr>
      <w:t>Președinte</w:t>
    </w:r>
    <w:proofErr w:type="spellEnd"/>
    <w:r w:rsidRPr="00D23E0A">
      <w:rPr>
        <w:rFonts w:ascii="Times New Roman" w:eastAsia="Times New Roman" w:hAnsi="Times New Roman"/>
        <w:sz w:val="26"/>
        <w:szCs w:val="26"/>
        <w:lang w:val="hu-HU"/>
      </w:rPr>
      <w:t xml:space="preserve"> de </w:t>
    </w:r>
    <w:proofErr w:type="spellStart"/>
    <w:r w:rsidRPr="00D23E0A">
      <w:rPr>
        <w:rFonts w:ascii="Times New Roman" w:eastAsia="Times New Roman" w:hAnsi="Times New Roman"/>
        <w:sz w:val="26"/>
        <w:szCs w:val="26"/>
        <w:lang w:val="hu-HU"/>
      </w:rPr>
      <w:t>ședință</w:t>
    </w:r>
    <w:proofErr w:type="spellEnd"/>
    <w:r w:rsidRPr="00D23E0A">
      <w:rPr>
        <w:rFonts w:ascii="Times New Roman" w:eastAsia="Times New Roman" w:hAnsi="Times New Roman"/>
        <w:sz w:val="26"/>
        <w:szCs w:val="26"/>
        <w:lang w:val="hu-HU"/>
      </w:rPr>
      <w:t>,</w:t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>
      <w:rPr>
        <w:rFonts w:ascii="Times New Roman" w:eastAsia="Times New Roman" w:hAnsi="Times New Roman"/>
        <w:sz w:val="26"/>
        <w:szCs w:val="26"/>
        <w:lang w:val="hu-HU"/>
      </w:rPr>
      <w:tab/>
    </w:r>
    <w:proofErr w:type="spellStart"/>
    <w:r w:rsidRPr="00D23E0A">
      <w:rPr>
        <w:rFonts w:ascii="Times New Roman" w:eastAsia="Times New Roman" w:hAnsi="Times New Roman"/>
        <w:sz w:val="26"/>
        <w:szCs w:val="26"/>
        <w:lang w:val="hu-HU"/>
      </w:rPr>
      <w:t>Secretar</w:t>
    </w:r>
    <w:proofErr w:type="spellEnd"/>
    <w:r w:rsidRPr="00D23E0A">
      <w:rPr>
        <w:rFonts w:ascii="Times New Roman" w:eastAsia="Times New Roman" w:hAnsi="Times New Roman"/>
        <w:sz w:val="26"/>
        <w:szCs w:val="26"/>
        <w:lang w:val="hu-HU"/>
      </w:rPr>
      <w:t xml:space="preserve"> </w:t>
    </w:r>
    <w:proofErr w:type="spellStart"/>
    <w:r w:rsidRPr="00D23E0A">
      <w:rPr>
        <w:rFonts w:ascii="Times New Roman" w:eastAsia="Times New Roman" w:hAnsi="Times New Roman"/>
        <w:sz w:val="26"/>
        <w:szCs w:val="26"/>
        <w:lang w:val="hu-HU"/>
      </w:rPr>
      <w:t>general</w:t>
    </w:r>
    <w:proofErr w:type="spellEnd"/>
    <w:r w:rsidRPr="00D23E0A">
      <w:rPr>
        <w:rFonts w:ascii="Times New Roman" w:eastAsia="Times New Roman" w:hAnsi="Times New Roman"/>
        <w:sz w:val="26"/>
        <w:szCs w:val="26"/>
        <w:lang w:val="hu-HU"/>
      </w:rPr>
      <w:t>,</w:t>
    </w:r>
  </w:p>
  <w:p w14:paraId="118DB082" w14:textId="1BBDCE08" w:rsidR="00D23E0A" w:rsidRPr="00D23E0A" w:rsidRDefault="00D23E0A" w:rsidP="00C0185B">
    <w:pPr>
      <w:spacing w:line="240" w:lineRule="auto"/>
      <w:ind w:firstLine="708"/>
      <w:jc w:val="both"/>
      <w:rPr>
        <w:rFonts w:ascii="Times New Roman" w:eastAsia="Times New Roman" w:hAnsi="Times New Roman"/>
        <w:sz w:val="26"/>
        <w:szCs w:val="26"/>
        <w:lang w:val="hu-HU"/>
      </w:rPr>
    </w:pPr>
    <w:proofErr w:type="spellStart"/>
    <w:r w:rsidRPr="00D23E0A">
      <w:rPr>
        <w:rFonts w:ascii="Times New Roman" w:eastAsia="Times New Roman" w:hAnsi="Times New Roman"/>
        <w:sz w:val="26"/>
        <w:szCs w:val="26"/>
        <w:lang w:val="hu-HU"/>
      </w:rPr>
      <w:t>Crăciun</w:t>
    </w:r>
    <w:proofErr w:type="spellEnd"/>
    <w:r w:rsidRPr="00D23E0A">
      <w:rPr>
        <w:rFonts w:ascii="Times New Roman" w:eastAsia="Times New Roman" w:hAnsi="Times New Roman"/>
        <w:sz w:val="26"/>
        <w:szCs w:val="26"/>
        <w:lang w:val="hu-HU"/>
      </w:rPr>
      <w:t xml:space="preserve"> </w:t>
    </w:r>
    <w:proofErr w:type="spellStart"/>
    <w:r w:rsidRPr="00D23E0A">
      <w:rPr>
        <w:rFonts w:ascii="Times New Roman" w:eastAsia="Times New Roman" w:hAnsi="Times New Roman"/>
        <w:sz w:val="26"/>
        <w:szCs w:val="26"/>
        <w:lang w:val="hu-HU"/>
      </w:rPr>
      <w:t>Ciprian</w:t>
    </w:r>
    <w:proofErr w:type="spellEnd"/>
    <w:r w:rsidRPr="00D23E0A">
      <w:rPr>
        <w:rFonts w:ascii="Times New Roman" w:eastAsia="Times New Roman" w:hAnsi="Times New Roman"/>
        <w:sz w:val="26"/>
        <w:szCs w:val="26"/>
        <w:lang w:val="hu-HU"/>
      </w:rPr>
      <w:t xml:space="preserve"> </w:t>
    </w:r>
    <w:proofErr w:type="spellStart"/>
    <w:r w:rsidRPr="00D23E0A">
      <w:rPr>
        <w:rFonts w:ascii="Times New Roman" w:eastAsia="Times New Roman" w:hAnsi="Times New Roman"/>
        <w:sz w:val="26"/>
        <w:szCs w:val="26"/>
        <w:lang w:val="hu-HU"/>
      </w:rPr>
      <w:t>Dumitru</w:t>
    </w:r>
    <w:proofErr w:type="spellEnd"/>
    <w:r w:rsidRPr="00D23E0A">
      <w:rPr>
        <w:rFonts w:ascii="Times New Roman" w:eastAsia="Times New Roman" w:hAnsi="Times New Roman"/>
        <w:sz w:val="26"/>
        <w:szCs w:val="26"/>
        <w:lang w:val="hu-HU"/>
      </w:rPr>
      <w:t xml:space="preserve"> </w:t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 w:rsidRPr="00D23E0A">
      <w:rPr>
        <w:rFonts w:ascii="Times New Roman" w:eastAsia="Times New Roman" w:hAnsi="Times New Roman"/>
        <w:sz w:val="26"/>
        <w:szCs w:val="26"/>
        <w:lang w:val="hu-HU"/>
      </w:rPr>
      <w:tab/>
    </w:r>
    <w:r>
      <w:rPr>
        <w:rFonts w:ascii="Times New Roman" w:eastAsia="Times New Roman" w:hAnsi="Times New Roman"/>
        <w:sz w:val="26"/>
        <w:szCs w:val="26"/>
        <w:lang w:val="hu-HU"/>
      </w:rPr>
      <w:tab/>
    </w:r>
    <w:r>
      <w:rPr>
        <w:rFonts w:ascii="Times New Roman" w:eastAsia="Times New Roman" w:hAnsi="Times New Roman"/>
        <w:sz w:val="26"/>
        <w:szCs w:val="26"/>
        <w:lang w:val="hu-HU"/>
      </w:rPr>
      <w:tab/>
    </w:r>
    <w:proofErr w:type="spellStart"/>
    <w:r w:rsidRPr="00D23E0A">
      <w:rPr>
        <w:rFonts w:ascii="Times New Roman" w:eastAsia="Times New Roman" w:hAnsi="Times New Roman"/>
        <w:sz w:val="26"/>
        <w:szCs w:val="26"/>
        <w:lang w:val="hu-HU"/>
      </w:rPr>
      <w:t>Mihaela</w:t>
    </w:r>
    <w:proofErr w:type="spellEnd"/>
    <w:r w:rsidRPr="00D23E0A">
      <w:rPr>
        <w:rFonts w:ascii="Times New Roman" w:eastAsia="Times New Roman" w:hAnsi="Times New Roman"/>
        <w:sz w:val="26"/>
        <w:szCs w:val="26"/>
        <w:lang w:val="hu-HU"/>
      </w:rPr>
      <w:t xml:space="preserve"> Maria Racolţa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4ED08" w14:textId="77777777" w:rsidR="00D23E0A" w:rsidRDefault="00D23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77993" w14:textId="77777777" w:rsidR="003B7ABF" w:rsidRDefault="003B7ABF" w:rsidP="002F3842">
      <w:pPr>
        <w:spacing w:after="0" w:line="240" w:lineRule="auto"/>
      </w:pPr>
      <w:r>
        <w:separator/>
      </w:r>
    </w:p>
  </w:footnote>
  <w:footnote w:type="continuationSeparator" w:id="0">
    <w:p w14:paraId="2B3CECD2" w14:textId="77777777" w:rsidR="003B7ABF" w:rsidRDefault="003B7ABF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CCCF4" w14:textId="77777777" w:rsidR="00D23E0A" w:rsidRDefault="00D23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CBD00" w14:textId="77AC2F7C" w:rsidR="006A1947" w:rsidRDefault="006A1947" w:rsidP="006A1947">
    <w:pPr>
      <w:pStyle w:val="Header"/>
      <w:jc w:val="right"/>
      <w:rPr>
        <w:rFonts w:ascii="Times New Roman" w:hAnsi="Times New Roman"/>
        <w:sz w:val="28"/>
        <w:szCs w:val="28"/>
        <w:lang w:val="ro-RO"/>
      </w:rPr>
    </w:pPr>
    <w:r w:rsidRPr="006A1947">
      <w:rPr>
        <w:rFonts w:ascii="Times New Roman" w:hAnsi="Times New Roman"/>
        <w:sz w:val="28"/>
        <w:szCs w:val="28"/>
        <w:lang w:val="ro-RO"/>
      </w:rPr>
      <w:t>Anexa nr. 1</w:t>
    </w:r>
  </w:p>
  <w:p w14:paraId="23A6AC26" w14:textId="664E342D" w:rsidR="00D23E0A" w:rsidRPr="006A1947" w:rsidRDefault="00D23E0A" w:rsidP="006A1947">
    <w:pPr>
      <w:pStyle w:val="Header"/>
      <w:jc w:val="right"/>
      <w:rPr>
        <w:rFonts w:ascii="Times New Roman" w:hAnsi="Times New Roman"/>
        <w:sz w:val="28"/>
        <w:szCs w:val="28"/>
        <w:lang w:val="ro-RO"/>
      </w:rPr>
    </w:pPr>
    <w:r>
      <w:rPr>
        <w:rFonts w:ascii="Times New Roman" w:hAnsi="Times New Roman"/>
        <w:sz w:val="28"/>
        <w:szCs w:val="28"/>
        <w:lang w:val="ro-RO"/>
      </w:rPr>
      <w:t>la HCL nr. 6/28.</w:t>
    </w:r>
    <w:r w:rsidR="00D10A7A">
      <w:rPr>
        <w:rFonts w:ascii="Times New Roman" w:hAnsi="Times New Roman"/>
        <w:sz w:val="28"/>
        <w:szCs w:val="28"/>
        <w:lang w:val="ro-RO"/>
      </w:rPr>
      <w:t>0</w:t>
    </w:r>
    <w:r>
      <w:rPr>
        <w:rFonts w:ascii="Times New Roman" w:hAnsi="Times New Roman"/>
        <w:sz w:val="28"/>
        <w:szCs w:val="28"/>
        <w:lang w:val="ro-RO"/>
      </w:rPr>
      <w:t>1.2021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B66E9" w14:textId="77777777" w:rsidR="00D23E0A" w:rsidRDefault="00D23E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E1677"/>
    <w:rsid w:val="0015523F"/>
    <w:rsid w:val="002F3842"/>
    <w:rsid w:val="00321F58"/>
    <w:rsid w:val="003435D6"/>
    <w:rsid w:val="003B7ABF"/>
    <w:rsid w:val="00434E09"/>
    <w:rsid w:val="00555DBB"/>
    <w:rsid w:val="00581CFC"/>
    <w:rsid w:val="005955E9"/>
    <w:rsid w:val="00643C7E"/>
    <w:rsid w:val="006A1947"/>
    <w:rsid w:val="008124F3"/>
    <w:rsid w:val="0082183B"/>
    <w:rsid w:val="00824E0C"/>
    <w:rsid w:val="008319A5"/>
    <w:rsid w:val="008607B3"/>
    <w:rsid w:val="008A59F0"/>
    <w:rsid w:val="009514CA"/>
    <w:rsid w:val="00963C24"/>
    <w:rsid w:val="00A10624"/>
    <w:rsid w:val="00A56792"/>
    <w:rsid w:val="00A82621"/>
    <w:rsid w:val="00AD3B08"/>
    <w:rsid w:val="00B24BB2"/>
    <w:rsid w:val="00C0185B"/>
    <w:rsid w:val="00C042C1"/>
    <w:rsid w:val="00D10A7A"/>
    <w:rsid w:val="00D23E0A"/>
    <w:rsid w:val="00D6189A"/>
    <w:rsid w:val="00F41F8C"/>
    <w:rsid w:val="00F76546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Mirela Tatar-Sinca</cp:lastModifiedBy>
  <cp:revision>7</cp:revision>
  <cp:lastPrinted>2021-01-22T08:34:00Z</cp:lastPrinted>
  <dcterms:created xsi:type="dcterms:W3CDTF">2021-01-22T11:58:00Z</dcterms:created>
  <dcterms:modified xsi:type="dcterms:W3CDTF">2021-02-02T12:55:00Z</dcterms:modified>
</cp:coreProperties>
</file>