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D12FAB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FAB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D12FAB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D12FAB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D12FAB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15BEB106" w:rsidR="008B6550" w:rsidRPr="00D12FAB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77777777" w:rsidR="00DA1F91" w:rsidRPr="00D12FAB" w:rsidRDefault="00DA1F91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37F90A18" w:rsidR="00CF42D3" w:rsidRPr="00D12FAB" w:rsidRDefault="00CF42D3" w:rsidP="00D12FAB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12FA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D12FA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37C46" w:rsidRPr="00D12FA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="001F3B82" w:rsidRPr="00D12FA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7</w:t>
      </w:r>
      <w:r w:rsidR="00D12FAB" w:rsidRPr="00D12FA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</w:t>
      </w:r>
      <w:r w:rsidR="00E37C46" w:rsidRPr="00D12FA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 w:rsidRPr="00D12FA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D12FA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 w:rsidRPr="00D12FA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D12FA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6B4761AE" w14:textId="77E3A11C" w:rsidR="00D12FAB" w:rsidRPr="00D12FAB" w:rsidRDefault="00D12FAB" w:rsidP="00D12F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aprobarea rectificării Bugetului local de Venituri şi Cheltuieli al </w:t>
      </w:r>
      <w:r w:rsidR="00421888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unicipiului Satu Mare pe anul 2021</w:t>
      </w:r>
    </w:p>
    <w:p w14:paraId="2C7B3331" w14:textId="77777777" w:rsidR="00D12FAB" w:rsidRPr="00D12FAB" w:rsidRDefault="00D12FAB" w:rsidP="00D12F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D67B6B2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>Consiliul Local al Municipiului Satu Mare întrunit în şedinţa ordinară din data de 28.10.2021,</w:t>
      </w:r>
    </w:p>
    <w:p w14:paraId="32CAD87C" w14:textId="1028E6D2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Analizând </w:t>
      </w: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roiectul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hotărâre înregistrat sub 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54.386/21.10.2021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bookmarkStart w:id="0" w:name="_Hlk74221907"/>
      <w:bookmarkStart w:id="1" w:name="_Hlk72414751"/>
      <w:bookmarkStart w:id="2" w:name="_Hlk80348662"/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raportul de specialitate nr. </w:t>
      </w:r>
      <w:r w:rsidRPr="00C150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54.388/21.10.2021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, întocmit de către Direcţia Economică, respectiv </w:t>
      </w: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aportul de specialitate nr. 54.542/22.10.2021 al Serviciului Investiţii, din cadrul aparatului de specialitate al </w:t>
      </w: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rimarului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unicipiului Satu Mare, </w:t>
      </w: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eferatul de aprobare al </w:t>
      </w: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rimarului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unicipiului, în calitate de iniţiator, înregistrat 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bookmarkStart w:id="3" w:name="_Hlk80348696"/>
      <w:r w:rsidRPr="00D12FAB">
        <w:rPr>
          <w:rFonts w:ascii="Times New Roman" w:hAnsi="Times New Roman" w:cs="Times New Roman"/>
          <w:sz w:val="28"/>
          <w:szCs w:val="28"/>
          <w:lang w:val="ro-RO"/>
        </w:rPr>
        <w:t>54.387/21.10.2021</w:t>
      </w:r>
      <w:bookmarkEnd w:id="3"/>
      <w:r w:rsidRPr="00D12FAB">
        <w:rPr>
          <w:rFonts w:ascii="Times New Roman" w:hAnsi="Times New Roman" w:cs="Times New Roman"/>
          <w:sz w:val="28"/>
          <w:szCs w:val="28"/>
          <w:lang w:val="ro-RO"/>
        </w:rPr>
        <w:t>, de avizele comisiilor de specialitate ale consiliului local,</w:t>
      </w:r>
    </w:p>
    <w:p w14:paraId="2ADFD188" w14:textId="076DC441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Constatând necesitatea aprobării rectificării Bugetului local de Venituri şi Cheltuieli al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unicipiului Satu Mare pe anul 2021, 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677628FE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>Având în vedere prevederile Legii nr. 24/2000 privind normele de tehnică legislativă pentru elaborarea actelor normative, republicată, cu modificările şi completările ulterioare,</w:t>
      </w:r>
    </w:p>
    <w:p w14:paraId="3B0F8944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>În conformitate cu prevederile Legii nr. 15/08.03.2021 a bugetului de stat pe anul 2021,</w:t>
      </w:r>
    </w:p>
    <w:p w14:paraId="5E11CC3E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>În temeiul prevederilor Legii nr. 153/28.06.2017, Lege-cadru privind salarizarea personalului plătit din fonduri publice, cu modificările şi completările ulterioare,</w:t>
      </w:r>
    </w:p>
    <w:p w14:paraId="6BD55EDB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>Având la bază prevederile art. 217 din O.U.G. nr. 57/2019 privind Codul administrativ</w:t>
      </w:r>
    </w:p>
    <w:p w14:paraId="73A4ECD2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>În conformitate cu prevederile art. IV, alin. 4, lit. b, din Ordonanţa de urgenţă nr. 26 din 6 iunie 2012, privind unele măsuri de reducere a cheltuielilor publice şi întărirea disciplinei financiare şi de modificare şi completare a unor acte normative, cu modificările şi completările ulterioare,</w:t>
      </w:r>
    </w:p>
    <w:p w14:paraId="191E1879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lastRenderedPageBreak/>
        <w:t>În baza Legii nr. 273/2006 privind finanţele publice locale, cu modificările şi completările ulterioare,</w:t>
      </w:r>
    </w:p>
    <w:p w14:paraId="329D87E4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>Având în vedere prevederile Legii nr. 292/2011, actualizată, a asistenţei sociale, cu modificările şi completările ulterioare,</w:t>
      </w:r>
    </w:p>
    <w:p w14:paraId="6072F691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Luând în considerare Ordonanța de urgență a Guvernului nr. 97/07.09.2021 cu privire la  rectificarea bugetului de stat pe anul 2021, </w:t>
      </w:r>
    </w:p>
    <w:p w14:paraId="3569F01E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>Ținând cont de prevederile Hotărârii nr. 1.088 din 6 octombrie 2021, privind alocarea unei sume din Fondul de rezervă bugetară la dispoziția Guvernului, prevăzut în bugetul de stat pe anul 2021, pentru unele unități administrativ-teritoriale și ale Hotărârii nr. 1.093 din 6 octombrie 2021, privind repartizarea sumelor corespunzătoare cotei prevăzute la art. 6, alin. (1), lit. e) din Legea bugetului de stat pe anul 2021 nr. 15/2021, pentru finanțarea instituțiilor publice de spectacole din subordinea autorităților administrației publice locale ale unităților administrativ-teritoriale din județe, respectiv teatre, opere si filarmonici,</w:t>
      </w:r>
    </w:p>
    <w:p w14:paraId="3C2D87C4" w14:textId="03BDF43A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Luând act de adresa nr. 131.656/11.10.2021 a Direcției Generale Regionale a Finanțelor Publice Cluj Napoca, Administrația Județeană a Finanțelor Publice </w:t>
      </w:r>
      <w:r w:rsidR="00C1503B"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Satu Mare,</w:t>
      </w:r>
    </w:p>
    <w:p w14:paraId="39BE2E04" w14:textId="3EAA080E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Ținând cont de solicitarea Serviciului Resurse umane, Salarizare, de adresa D.E.P. cu nr. 84.611/19.10.2021, adresa Poliției Locale Satu Mare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nr. 3.631/12.10.2021, adresa Biroului Finanțare și Administrare Unități de Învățământ nr. 53.222/14.10.2021 din cadrul Primăriei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unicipiului Satu Mare, adresa Serviciului Administrativ, adresa D.A.S. Satu Mare nr. 11.220/11.10.2021, adresa nr. 54.571/22.10.2021 depusă de către Serviciul Administrarea Domeniului Public și Privat din cadrul Primăriei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unicipiului Satu Mare, precum și Referatul de specialitate nr. 627/20.09.2021al Teatrului de Nord Satu Mare,</w:t>
      </w:r>
    </w:p>
    <w:bookmarkEnd w:id="0"/>
    <w:p w14:paraId="4FF811B0" w14:textId="350A5CC6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>În baza art. 129, al</w:t>
      </w:r>
      <w:r w:rsidR="00FD26A2">
        <w:rPr>
          <w:rFonts w:ascii="Times New Roman" w:hAnsi="Times New Roman" w:cs="Times New Roman"/>
          <w:sz w:val="28"/>
          <w:szCs w:val="28"/>
          <w:lang w:val="ro-RO"/>
        </w:rPr>
        <w:t>in.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D26A2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FD26A2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, lit. b</w:t>
      </w:r>
      <w:r w:rsidR="00FD26A2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, pct. 4, lit. a</w:t>
      </w:r>
      <w:r w:rsidR="008256A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din O.U.G nr. 57/2019 privind Codul administrativ, cu modificările și completările ulterioare,</w:t>
      </w:r>
    </w:p>
    <w:p w14:paraId="7ACB7CA7" w14:textId="34BA36BB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În temeiul art. 139, alin. </w:t>
      </w:r>
      <w:r w:rsidR="008256A5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8256A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lit. a</w:t>
      </w:r>
      <w:r w:rsidR="008256A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din O.U.G nr. 57/2019 privind Codul administrativ, cu modificările și completările ulterioare,</w:t>
      </w:r>
      <w:bookmarkStart w:id="4" w:name="_Hlk4575112"/>
      <w:bookmarkEnd w:id="1"/>
    </w:p>
    <w:bookmarkEnd w:id="2"/>
    <w:p w14:paraId="6B7A0C33" w14:textId="3AB7FF5E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doptă următoarea </w:t>
      </w:r>
    </w:p>
    <w:bookmarkEnd w:id="4"/>
    <w:p w14:paraId="7187F082" w14:textId="77777777" w:rsidR="00D12FAB" w:rsidRPr="00D12FAB" w:rsidRDefault="00D12FAB" w:rsidP="00D12FAB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H O T Ă R Â R E :</w:t>
      </w:r>
    </w:p>
    <w:p w14:paraId="56E99A5C" w14:textId="07F16294" w:rsidR="00D12FAB" w:rsidRPr="00D12FAB" w:rsidRDefault="00D12FAB" w:rsidP="00D12FAB">
      <w:pPr>
        <w:pStyle w:val="BodyText"/>
        <w:ind w:firstLine="720"/>
        <w:jc w:val="both"/>
        <w:rPr>
          <w:szCs w:val="28"/>
        </w:rPr>
      </w:pPr>
      <w:r w:rsidRPr="00D12FAB">
        <w:rPr>
          <w:b/>
          <w:szCs w:val="28"/>
        </w:rPr>
        <w:t>Art.</w:t>
      </w:r>
      <w:r w:rsidR="00FA5743">
        <w:rPr>
          <w:b/>
          <w:szCs w:val="28"/>
        </w:rPr>
        <w:t xml:space="preserve"> </w:t>
      </w:r>
      <w:r w:rsidRPr="00D12FAB">
        <w:rPr>
          <w:b/>
          <w:szCs w:val="28"/>
        </w:rPr>
        <w:t>1</w:t>
      </w:r>
      <w:r w:rsidRPr="00FA5743">
        <w:rPr>
          <w:b/>
          <w:bCs/>
          <w:szCs w:val="28"/>
        </w:rPr>
        <w:t>.</w:t>
      </w:r>
      <w:r w:rsidRPr="00D12FAB">
        <w:rPr>
          <w:szCs w:val="28"/>
        </w:rPr>
        <w:t xml:space="preserve"> Se aprobă rectificarea Bugetului local de Venituri şi Cheltuieli al </w:t>
      </w:r>
      <w:r w:rsidR="00FA5743">
        <w:rPr>
          <w:szCs w:val="28"/>
        </w:rPr>
        <w:t>M</w:t>
      </w:r>
      <w:r w:rsidRPr="00D12FAB">
        <w:rPr>
          <w:szCs w:val="28"/>
        </w:rPr>
        <w:t>unicipiului Satu Mare pe anul 2021, la valoarea totală de 424</w:t>
      </w:r>
      <w:r w:rsidRPr="00D12FAB">
        <w:rPr>
          <w:bCs/>
          <w:szCs w:val="28"/>
        </w:rPr>
        <w:t>.049.680  lei,</w:t>
      </w:r>
      <w:r w:rsidRPr="00D12FAB">
        <w:rPr>
          <w:szCs w:val="28"/>
        </w:rPr>
        <w:t xml:space="preserve"> din care:</w:t>
      </w:r>
    </w:p>
    <w:p w14:paraId="5AD3AD76" w14:textId="77777777" w:rsidR="00D12FAB" w:rsidRPr="00D12FAB" w:rsidRDefault="00D12FAB" w:rsidP="00D12FAB">
      <w:pPr>
        <w:pStyle w:val="BodyText"/>
        <w:numPr>
          <w:ilvl w:val="0"/>
          <w:numId w:val="2"/>
        </w:numPr>
        <w:jc w:val="both"/>
        <w:rPr>
          <w:szCs w:val="28"/>
        </w:rPr>
      </w:pPr>
      <w:r w:rsidRPr="00D12FAB">
        <w:rPr>
          <w:szCs w:val="28"/>
        </w:rPr>
        <w:t>238.123.128 lei la Secţiunea de funcţionare, conform anexei nr. 1,</w:t>
      </w:r>
    </w:p>
    <w:p w14:paraId="05B2733E" w14:textId="3FCC9E4D" w:rsidR="00D12FAB" w:rsidRDefault="00D12FAB" w:rsidP="00D12FAB">
      <w:pPr>
        <w:pStyle w:val="BodyText"/>
        <w:numPr>
          <w:ilvl w:val="0"/>
          <w:numId w:val="2"/>
        </w:numPr>
        <w:jc w:val="both"/>
        <w:rPr>
          <w:szCs w:val="28"/>
        </w:rPr>
      </w:pPr>
      <w:r w:rsidRPr="00D12FAB">
        <w:rPr>
          <w:szCs w:val="28"/>
        </w:rPr>
        <w:lastRenderedPageBreak/>
        <w:t>185.926.552 lei la Secţiunea de dezvoltare, conform anexei nr. 1.1.</w:t>
      </w:r>
    </w:p>
    <w:p w14:paraId="27E1D20E" w14:textId="77777777" w:rsidR="00D12FAB" w:rsidRPr="00D12FAB" w:rsidRDefault="00D12FAB" w:rsidP="00D12FAB">
      <w:pPr>
        <w:pStyle w:val="BodyText"/>
        <w:ind w:left="1080"/>
        <w:jc w:val="both"/>
        <w:rPr>
          <w:szCs w:val="28"/>
        </w:rPr>
      </w:pPr>
    </w:p>
    <w:p w14:paraId="29FBD02A" w14:textId="6B3C2B95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2. 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bookmarkStart w:id="5" w:name="_Hlk72151866"/>
      <w:r w:rsidRPr="00D12FAB">
        <w:rPr>
          <w:rFonts w:ascii="Times New Roman" w:hAnsi="Times New Roman" w:cs="Times New Roman"/>
          <w:sz w:val="28"/>
          <w:szCs w:val="28"/>
          <w:lang w:val="ro-RO"/>
        </w:rPr>
        <w:t>rectificarea</w:t>
      </w:r>
      <w:bookmarkEnd w:id="5"/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Listei obiectivelor de investiţii pe anul 2021, la valoarea de 121.874.545 lei</w:t>
      </w:r>
      <w:r w:rsidR="007F3F7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conform anexei nr.</w:t>
      </w:r>
      <w:r w:rsidR="00FA57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2.</w:t>
      </w:r>
    </w:p>
    <w:p w14:paraId="3C6DAF67" w14:textId="7E60D84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Pr="00FA574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Se aprobă rectificarea Listei studiilor de fezabilitate, documentaţiilor tehnico-economice şi de urbanism pe anul 2021 la valoarea totală de  4.433.450 lei</w:t>
      </w:r>
      <w:r w:rsidR="007F3F70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conform anexei nr. 3.</w:t>
      </w:r>
    </w:p>
    <w:p w14:paraId="56EEDB95" w14:textId="64562463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FA5743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6" w:name="_Hlk74231283"/>
      <w:r w:rsidRPr="00D12FAB">
        <w:rPr>
          <w:rFonts w:ascii="Times New Roman" w:hAnsi="Times New Roman" w:cs="Times New Roman"/>
          <w:sz w:val="28"/>
          <w:szCs w:val="28"/>
          <w:lang w:val="ro-RO"/>
        </w:rPr>
        <w:t>Se aprobă rectificarea Listei proiectelor tehnice pe anul 2021 la valoarea totală de  1.213.000 lei</w:t>
      </w:r>
      <w:r w:rsidR="007F3F7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conform anexei nr. 4. </w:t>
      </w:r>
    </w:p>
    <w:bookmarkEnd w:id="6"/>
    <w:p w14:paraId="246AC2D0" w14:textId="57BEC8E6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Pr="00FA574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bookmarkStart w:id="7" w:name="_Hlk83199956"/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Se aprobă rectificarea Listei dotărilor independente pe anul 2021, la valoarea totală de 8.404.795 lei</w:t>
      </w:r>
      <w:r w:rsidR="007F3F70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conform anexei nr. 5. </w:t>
      </w:r>
    </w:p>
    <w:bookmarkEnd w:id="7"/>
    <w:p w14:paraId="2EC07DAE" w14:textId="4D2DFEB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Pr="00FA5743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Se aprobă rectificarea Listei lucrărilor de foraj, cartarea terenului, fotogrametrie, determinări seismologice, consultanță, asistență tehnică și alte cheltuieli asimilate investițiilor pe anul 2021, la valoarea totală de 3.480.400 lei</w:t>
      </w:r>
      <w:r w:rsidR="007F3F7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conform anexei nr. 6. </w:t>
      </w:r>
    </w:p>
    <w:p w14:paraId="29A24711" w14:textId="1F51809E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bCs/>
          <w:sz w:val="28"/>
          <w:szCs w:val="28"/>
          <w:lang w:val="ro-RO"/>
        </w:rPr>
        <w:t>7.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Se aprobă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rectificarea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Listei creditelor de angajament şi a Programului multianual de investiții pe anii 2022, 2023, 2024 și 2025 aferente obiectivelor de investiţii aprobate în Secţiunea de dezvoltare a bugetului local finanţate din surse proprii, alte surse şi din fonduri externe ner</w:t>
      </w:r>
      <w:r w:rsidR="00FA5743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mbursabile, conform anexei nr. 8 la prezentul proiect de hotărâre.</w:t>
      </w:r>
    </w:p>
    <w:p w14:paraId="518D1C42" w14:textId="14BFEC0B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8.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Se aprobă rectificarea anexei nr. 9, Programul anual de investiţii al </w:t>
      </w:r>
      <w:r w:rsidR="008256A5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unicipiului Satu Mare pentru anul 2021.</w:t>
      </w:r>
    </w:p>
    <w:p w14:paraId="2D81FBF3" w14:textId="21CF0FC8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9. 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rectificarea la nivelul sumei de 24.848.800 lei, a fondurilor alocate în Secțiunea de funcționare a bugetului local pentru instituţiile de învăţământ preuniversitar de stat din </w:t>
      </w:r>
      <w:r w:rsidR="008256A5">
        <w:rPr>
          <w:rFonts w:ascii="Times New Roman" w:hAnsi="Times New Roman" w:cs="Times New Roman"/>
          <w:bCs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unicipiul Satu Mare, conform anexelor nr. 10.1-10.6.</w:t>
      </w:r>
    </w:p>
    <w:p w14:paraId="6EAB694C" w14:textId="1F9D1E76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10</w:t>
      </w:r>
      <w:r w:rsidRPr="00FA574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Se aprobă suplimentarea cu suma de 300.000 lei a bugetului de venituri și cheltuieli al Poliţiei Locale Satu Mare. Bugetul rectificat în valoare de 9.376.700 lei va fi repartizat după cum urmează:</w:t>
      </w:r>
    </w:p>
    <w:p w14:paraId="40F38883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•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ab/>
        <w:t>8.640.700 lei reprezintă cheltuieli de personal,</w:t>
      </w:r>
    </w:p>
    <w:p w14:paraId="59C8E5D3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•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ab/>
        <w:t>736.000 lei pentru asigurarea cheltuielilor cu bunuri şi servicii.</w:t>
      </w:r>
    </w:p>
    <w:p w14:paraId="0B25C07F" w14:textId="69A64E2F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11.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Se aprobă suplimentarea cu 10.000 lei a fondurilor alocate în vederea acordării unei recompense băneşti cuplurilor care sărbătoresc împlinirea a 50, 60 respectiv 70 de ani de căsătorie.  </w:t>
      </w:r>
    </w:p>
    <w:p w14:paraId="425690BE" w14:textId="57E89570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12.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Se aprobă rectificare</w:t>
      </w:r>
      <w:r w:rsidR="00FA5743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bugetului de venituri și cheltuieli în valoare de 14.400.000 lei al Teatrului de Nord Satu Mare după cum urmează:</w:t>
      </w:r>
    </w:p>
    <w:p w14:paraId="0DFBA33E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•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ab/>
        <w:t>12.400.000 lei reprezintă cheltuieli de personal,</w:t>
      </w:r>
    </w:p>
    <w:p w14:paraId="09B22950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•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ab/>
        <w:t>1.887.000 lei pentru asigurarea cheltuielilor cu bunuri şi servicii,</w:t>
      </w:r>
    </w:p>
    <w:p w14:paraId="12E7A6DA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•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ab/>
        <w:t>113.000 lei pentru virarea sumelor aferente persoanelor cu handicap neangajate la nivelul instituţiei.</w:t>
      </w:r>
    </w:p>
    <w:p w14:paraId="5BF8A2EE" w14:textId="10B9D523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13. 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(1) Se aprobă suplimentarea cu suma de 760.000 lei a bugetului de venituri și cheltuieli al D.A.S. Satu Mare. Bugetul rectificat în valoare de 42.912.100 lei va fi repartizat după cum urmează:</w:t>
      </w:r>
    </w:p>
    <w:p w14:paraId="6C8F64F7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(2) Pentru asigurarea cheltuielilor de funcționare a D.A.S. Satu Mare suma de 6.335.100 lei din care:</w:t>
      </w:r>
    </w:p>
    <w:p w14:paraId="54215622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•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ab/>
        <w:t>5.105.100 lei reprezintă cheltuieli de personal,</w:t>
      </w:r>
    </w:p>
    <w:p w14:paraId="1DF240AD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•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ab/>
        <w:t>40.000 lei pentru virarea sumelor aferente persoanelor cu handicap neangajate la nivelul instituţiei,</w:t>
      </w:r>
    </w:p>
    <w:p w14:paraId="71A7FD05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•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ab/>
        <w:t xml:space="preserve">1.190.000 lei pentru asigurarea cheltuielilor cu bunuri şi servicii. </w:t>
      </w:r>
    </w:p>
    <w:p w14:paraId="54A2904B" w14:textId="1FABEECE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(3) Pentru funcţionarea creşelor din </w:t>
      </w:r>
      <w:r w:rsidR="008256A5">
        <w:rPr>
          <w:rFonts w:ascii="Times New Roman" w:hAnsi="Times New Roman" w:cs="Times New Roman"/>
          <w:bCs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unicipiul Satu Mare, suma de 4.760.000 lei repartizată după cum urmează:</w:t>
      </w:r>
    </w:p>
    <w:p w14:paraId="7B86613D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•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ab/>
        <w:t>3.880.000 lei reprezintă cheltuieli de personal,</w:t>
      </w:r>
    </w:p>
    <w:p w14:paraId="6D4D52C0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•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ab/>
        <w:t>80.000 lei pentru virarea sumelor aferente persoanelor cu handicap neangajate la nivelul instituţiei,</w:t>
      </w:r>
    </w:p>
    <w:p w14:paraId="4A6C77AD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•</w:t>
      </w: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ab/>
        <w:t>800.000 lei pentru asigurarea cheltuielilor cu bunuri şi servicii.</w:t>
      </w:r>
    </w:p>
    <w:p w14:paraId="3E37FF4A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(4) Pentru plata sumelor aferente fondului de handicap în cazul salariilor asistenților persoanelor cu handicap se suplimentează bugetul cu suma de 65.000 lei.</w:t>
      </w:r>
    </w:p>
    <w:p w14:paraId="054992C0" w14:textId="77777777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Cs/>
          <w:sz w:val="28"/>
          <w:szCs w:val="28"/>
          <w:lang w:val="ro-RO"/>
        </w:rPr>
        <w:t>(5) Pentru indemnizațiile persoanelor cu handicap se alocă suplimentar suma de 760.000 lei, rezultând un buget rectificat de 19.260.000 lei.</w:t>
      </w:r>
    </w:p>
    <w:p w14:paraId="728F938F" w14:textId="5C65F12D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14. 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Se împuterniceşte </w:t>
      </w: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rimarul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unicipiului Satu Mare pentru a semna modificarea anexelor la bugetul local, ca urmare a alocărilor sau retragerilor de sume la nivelul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unicipiului Satu Mare, urmare a apariţiei unor acte normative, respectiv comunicări ale A.J.F.P Satu Mare, Consiliul Judeţean Satu Mare, Direcţia de Sănătate Publică Satu Mare sau Contracte de finanţare</w:t>
      </w:r>
      <w:r w:rsidR="00FA574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semnate pentru realizarea  unor obiective din fonduri externe nerambursabile sau din fonduri guvernamentale. 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lastRenderedPageBreak/>
        <w:t>Anexele modificate  vor fi prezentate spre aprobare Consiliului Local cu ocazia primei rectificări a Bugetului local de Venituri şi Cheltuieli.</w:t>
      </w:r>
    </w:p>
    <w:p w14:paraId="091CBD8E" w14:textId="2E08F985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15</w:t>
      </w:r>
      <w:r w:rsidRPr="00FA5743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Sumele aprobate în Bugetul local de Venituri şi Cheltuieli al </w:t>
      </w:r>
      <w:r w:rsidR="00FA5743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unicipiului Satu Mare, în Bugetul de Venituri şi Cheltuieli al instituţiilor finanţate integral sau parţial din venituri proprii subordonate Consiliului </w:t>
      </w: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ocal al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unicipiului Satu Mare respectiv în Bugetul creditelor interne/externe al </w:t>
      </w:r>
      <w:r w:rsidR="00FA5743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unicipiului Satu Mare, vor constitui Bugetul de Venituri şi Cheltuieli consolidat al </w:t>
      </w:r>
      <w:r w:rsidR="00FA5743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unicipiului Satu Mare pe anul 2021. </w:t>
      </w:r>
    </w:p>
    <w:p w14:paraId="2EA09394" w14:textId="29592E06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16.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Anexele  1, 1.1, 2, 3, 4, 5, 6, 8, 9, 10.1-10.6 fac parte integrantă din prezenta hotărâre.</w:t>
      </w:r>
    </w:p>
    <w:p w14:paraId="614A67EF" w14:textId="5D475353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FA57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>17</w:t>
      </w:r>
      <w:r w:rsidRPr="00FA5743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Cu ducerea la îndeplinire a prezentei hotărâri se încredinţează Primarul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unicipiului Satu Mare prin </w:t>
      </w:r>
      <w:r>
        <w:rPr>
          <w:rFonts w:ascii="Times New Roman" w:hAnsi="Times New Roman" w:cs="Times New Roman"/>
          <w:sz w:val="28"/>
          <w:szCs w:val="28"/>
          <w:lang w:val="ro-RO"/>
        </w:rPr>
        <w:t>structurile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 de specialitate.</w:t>
      </w:r>
    </w:p>
    <w:p w14:paraId="7E822D7D" w14:textId="0A73646D" w:rsidR="00D12FAB" w:rsidRPr="00D12FAB" w:rsidRDefault="00D12FAB" w:rsidP="00D12F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2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Art.18. 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Prezenta hotărâre se comunică, prin intermediul </w:t>
      </w: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ecretarului general al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 xml:space="preserve">unicipiului Satu Mare, în termenul prevăzut de lege, Primarului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D12FAB">
        <w:rPr>
          <w:rFonts w:ascii="Times New Roman" w:hAnsi="Times New Roman" w:cs="Times New Roman"/>
          <w:sz w:val="28"/>
          <w:szCs w:val="28"/>
          <w:lang w:val="ro-RO"/>
        </w:rPr>
        <w:t>unicipiului Satu Mare, Instituţiei Prefectului judeţul Satu Mare, Directorului executiv şi Serviciului Buget.</w:t>
      </w:r>
    </w:p>
    <w:p w14:paraId="67D242DA" w14:textId="77777777" w:rsidR="001F3B82" w:rsidRPr="00D12FAB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74F6DE2" w14:textId="77777777" w:rsidR="00137664" w:rsidRPr="00D12FAB" w:rsidRDefault="00137664" w:rsidP="00137664">
      <w:pPr>
        <w:tabs>
          <w:tab w:val="left" w:pos="18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376180" w14:textId="2BBEFE25" w:rsidR="00137664" w:rsidRPr="00D12FAB" w:rsidRDefault="00137664" w:rsidP="00137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Președinte de ședință,                         </w:t>
      </w:r>
      <w:r w:rsidR="00E82439"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Contrasemnează</w:t>
      </w:r>
    </w:p>
    <w:p w14:paraId="60A442A4" w14:textId="06B27EFE" w:rsidR="00137664" w:rsidRPr="00D12FAB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Molnar-Creț Diana-Maria</w:t>
      </w:r>
      <w:r w:rsidR="00137664"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37664"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>Secretar general,</w:t>
      </w:r>
    </w:p>
    <w:p w14:paraId="189D70F0" w14:textId="5D87AA27" w:rsidR="00137664" w:rsidRPr="00D12FAB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D12FAB">
        <w:rPr>
          <w:rFonts w:ascii="Times New Roman" w:eastAsia="Times New Roman" w:hAnsi="Times New Roman" w:cs="Times New Roman"/>
          <w:b/>
          <w:bCs/>
          <w:sz w:val="28"/>
          <w:szCs w:val="28"/>
        </w:rPr>
        <w:t>Mihaela Maria Racolța</w:t>
      </w:r>
    </w:p>
    <w:p w14:paraId="3B068F57" w14:textId="77777777" w:rsidR="00137664" w:rsidRPr="00D12FAB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5B5C8BD" w14:textId="38978983" w:rsidR="00137664" w:rsidRPr="00D12FAB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8833D49" w14:textId="4DD2D310" w:rsidR="001F3B82" w:rsidRPr="00D12FAB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BF7F9D6" w14:textId="6338453B" w:rsidR="001F3B82" w:rsidRPr="00D12FAB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0C4D502" w14:textId="1A2C68C6" w:rsidR="001F3B82" w:rsidRPr="00D12FAB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4BC2C81" w14:textId="32041529" w:rsidR="001F3B82" w:rsidRPr="00D12FAB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E29CC1" w14:textId="77777777" w:rsidR="00137664" w:rsidRPr="00D12FAB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5A46463" w14:textId="77777777" w:rsidR="00137664" w:rsidRPr="00D12FAB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22432850" w:rsidR="00137664" w:rsidRPr="00D12FAB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12FAB">
        <w:rPr>
          <w:rFonts w:ascii="Times New Roman" w:eastAsia="Times New Roman" w:hAnsi="Times New Roman" w:cs="Times New Roman"/>
          <w:sz w:val="16"/>
          <w:szCs w:val="16"/>
        </w:rPr>
        <w:t>Prezenta hotărâre a fost adoptată cu respectarea prevederilor art. 139 alin. (</w:t>
      </w:r>
      <w:r w:rsidR="00607986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D12FAB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="00607986">
        <w:rPr>
          <w:rFonts w:ascii="Times New Roman" w:eastAsia="Times New Roman" w:hAnsi="Times New Roman" w:cs="Times New Roman"/>
          <w:sz w:val="16"/>
          <w:szCs w:val="16"/>
        </w:rPr>
        <w:t xml:space="preserve">lit. a) </w:t>
      </w:r>
      <w:r w:rsidRPr="00D12FAB">
        <w:rPr>
          <w:rFonts w:ascii="Times New Roman" w:eastAsia="Times New Roman" w:hAnsi="Times New Roman" w:cs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D12FAB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D12FAB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D12FAB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D12FAB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D12FAB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3EAF916D" w:rsidR="00137664" w:rsidRPr="00D12FAB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D1D6E"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7664" w:rsidRPr="00D12FAB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D12FAB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2DDE5EE3" w:rsidR="00137664" w:rsidRPr="00D12FAB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D12FAB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D12FAB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38EFD0B4" w:rsidR="00137664" w:rsidRPr="00D12FAB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D12FAB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D12FAB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50161E7F" w:rsidR="00137664" w:rsidRPr="00D12FAB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D12FAB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D12FAB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D12FAB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F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3D1D5DB" w14:textId="77777777" w:rsidR="00137664" w:rsidRPr="00D12FAB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0617B6" w14:textId="77777777" w:rsidR="00137664" w:rsidRPr="00D12FAB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C88332" w14:textId="77777777" w:rsidR="00137664" w:rsidRPr="00D12FAB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D12FAB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D12FAB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12FAB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D12FAB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D12FAB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D12FAB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8115EE4" w14:textId="77777777" w:rsidR="00137664" w:rsidRPr="00D12FAB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D721636" w14:textId="77777777" w:rsidR="00137664" w:rsidRPr="00D12FAB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CCAF719" w14:textId="77777777" w:rsidR="00137664" w:rsidRPr="00D12FAB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D12FAB">
        <w:rPr>
          <w:rFonts w:ascii="Times New Roman" w:eastAsia="Times New Roman" w:hAnsi="Times New Roman" w:cs="Times New Roman"/>
          <w:sz w:val="18"/>
          <w:szCs w:val="18"/>
        </w:rPr>
        <w:t>Redactat în 6 exemplare originale</w:t>
      </w:r>
    </w:p>
    <w:p w14:paraId="5C2246B4" w14:textId="77777777" w:rsidR="00207E9F" w:rsidRPr="00D12FAB" w:rsidRDefault="00207E9F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sectPr w:rsidR="00207E9F" w:rsidRPr="00D12FAB" w:rsidSect="00607986">
      <w:footerReference w:type="default" r:id="rId8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713B" w14:textId="77777777" w:rsidR="00CA20B6" w:rsidRDefault="00CA20B6" w:rsidP="007975BD">
      <w:pPr>
        <w:spacing w:after="0" w:line="240" w:lineRule="auto"/>
      </w:pPr>
      <w:r>
        <w:separator/>
      </w:r>
    </w:p>
  </w:endnote>
  <w:endnote w:type="continuationSeparator" w:id="0">
    <w:p w14:paraId="2DB2730D" w14:textId="77777777" w:rsidR="00CA20B6" w:rsidRDefault="00CA20B6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BC69" w14:textId="77777777" w:rsidR="00CA20B6" w:rsidRDefault="00CA20B6" w:rsidP="007975BD">
      <w:pPr>
        <w:spacing w:after="0" w:line="240" w:lineRule="auto"/>
      </w:pPr>
      <w:r>
        <w:separator/>
      </w:r>
    </w:p>
  </w:footnote>
  <w:footnote w:type="continuationSeparator" w:id="0">
    <w:p w14:paraId="3D60C95E" w14:textId="77777777" w:rsidR="00CA20B6" w:rsidRDefault="00CA20B6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25746"/>
    <w:multiLevelType w:val="hybridMultilevel"/>
    <w:tmpl w:val="B7C4571E"/>
    <w:lvl w:ilvl="0" w:tplc="058E699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5208D"/>
    <w:rsid w:val="00071F30"/>
    <w:rsid w:val="000B6EDE"/>
    <w:rsid w:val="000E18D8"/>
    <w:rsid w:val="000E75F3"/>
    <w:rsid w:val="001059E2"/>
    <w:rsid w:val="001161DD"/>
    <w:rsid w:val="0012238F"/>
    <w:rsid w:val="0013011E"/>
    <w:rsid w:val="00130591"/>
    <w:rsid w:val="00137664"/>
    <w:rsid w:val="00156060"/>
    <w:rsid w:val="00165EE0"/>
    <w:rsid w:val="0018175C"/>
    <w:rsid w:val="001B32A9"/>
    <w:rsid w:val="001B50F2"/>
    <w:rsid w:val="001C35EF"/>
    <w:rsid w:val="001D0D5A"/>
    <w:rsid w:val="001D30AE"/>
    <w:rsid w:val="001E3000"/>
    <w:rsid w:val="001F2E9A"/>
    <w:rsid w:val="001F3B82"/>
    <w:rsid w:val="001F596F"/>
    <w:rsid w:val="001F773A"/>
    <w:rsid w:val="00207E9F"/>
    <w:rsid w:val="002441F1"/>
    <w:rsid w:val="002477F8"/>
    <w:rsid w:val="00271A62"/>
    <w:rsid w:val="0027478A"/>
    <w:rsid w:val="002C41E1"/>
    <w:rsid w:val="002F170C"/>
    <w:rsid w:val="00307B04"/>
    <w:rsid w:val="0031305D"/>
    <w:rsid w:val="003307AC"/>
    <w:rsid w:val="00347D74"/>
    <w:rsid w:val="003549F9"/>
    <w:rsid w:val="0035743C"/>
    <w:rsid w:val="00392CF3"/>
    <w:rsid w:val="003C45F1"/>
    <w:rsid w:val="003E09D9"/>
    <w:rsid w:val="003E123E"/>
    <w:rsid w:val="004051D8"/>
    <w:rsid w:val="00421888"/>
    <w:rsid w:val="00427049"/>
    <w:rsid w:val="00433447"/>
    <w:rsid w:val="00435AD5"/>
    <w:rsid w:val="004758F2"/>
    <w:rsid w:val="00497A5C"/>
    <w:rsid w:val="004A2B86"/>
    <w:rsid w:val="004E5E80"/>
    <w:rsid w:val="005105AF"/>
    <w:rsid w:val="00522FE9"/>
    <w:rsid w:val="00531C04"/>
    <w:rsid w:val="00534A1B"/>
    <w:rsid w:val="00550988"/>
    <w:rsid w:val="005720A2"/>
    <w:rsid w:val="005920AF"/>
    <w:rsid w:val="005A6299"/>
    <w:rsid w:val="0060604F"/>
    <w:rsid w:val="00607986"/>
    <w:rsid w:val="006262BF"/>
    <w:rsid w:val="00646B52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90CD3"/>
    <w:rsid w:val="007975BD"/>
    <w:rsid w:val="007A312D"/>
    <w:rsid w:val="007F3F70"/>
    <w:rsid w:val="0081068E"/>
    <w:rsid w:val="00822276"/>
    <w:rsid w:val="008238A3"/>
    <w:rsid w:val="008256A5"/>
    <w:rsid w:val="00860DB6"/>
    <w:rsid w:val="0087252E"/>
    <w:rsid w:val="00884904"/>
    <w:rsid w:val="008B6550"/>
    <w:rsid w:val="008B7710"/>
    <w:rsid w:val="008F51A2"/>
    <w:rsid w:val="0092099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33DF5"/>
    <w:rsid w:val="00A85772"/>
    <w:rsid w:val="00A907C7"/>
    <w:rsid w:val="00AA3A9C"/>
    <w:rsid w:val="00AC7814"/>
    <w:rsid w:val="00AD18F8"/>
    <w:rsid w:val="00AD42DD"/>
    <w:rsid w:val="00AD6141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C002FF"/>
    <w:rsid w:val="00C1503B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A20B6"/>
    <w:rsid w:val="00CB687F"/>
    <w:rsid w:val="00CC56B4"/>
    <w:rsid w:val="00CD03AC"/>
    <w:rsid w:val="00CD15F1"/>
    <w:rsid w:val="00CE69B1"/>
    <w:rsid w:val="00CF42D3"/>
    <w:rsid w:val="00D0244C"/>
    <w:rsid w:val="00D12FAB"/>
    <w:rsid w:val="00D317D2"/>
    <w:rsid w:val="00D4278C"/>
    <w:rsid w:val="00D879CF"/>
    <w:rsid w:val="00D92433"/>
    <w:rsid w:val="00DA18DB"/>
    <w:rsid w:val="00DA1F91"/>
    <w:rsid w:val="00DC3297"/>
    <w:rsid w:val="00DD3996"/>
    <w:rsid w:val="00DE3940"/>
    <w:rsid w:val="00DF4460"/>
    <w:rsid w:val="00DF497B"/>
    <w:rsid w:val="00E33605"/>
    <w:rsid w:val="00E37C46"/>
    <w:rsid w:val="00E42590"/>
    <w:rsid w:val="00E75376"/>
    <w:rsid w:val="00E82439"/>
    <w:rsid w:val="00E91E6F"/>
    <w:rsid w:val="00E96866"/>
    <w:rsid w:val="00ED0E9E"/>
    <w:rsid w:val="00ED768C"/>
    <w:rsid w:val="00F12135"/>
    <w:rsid w:val="00F25B9D"/>
    <w:rsid w:val="00F348CB"/>
    <w:rsid w:val="00F36951"/>
    <w:rsid w:val="00F5732B"/>
    <w:rsid w:val="00F576E7"/>
    <w:rsid w:val="00F6318D"/>
    <w:rsid w:val="00F824FE"/>
    <w:rsid w:val="00FA0765"/>
    <w:rsid w:val="00FA361F"/>
    <w:rsid w:val="00FA5743"/>
    <w:rsid w:val="00FB3E9D"/>
    <w:rsid w:val="00FC25F8"/>
    <w:rsid w:val="00FD26A2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12F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D12FAB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1488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9</cp:revision>
  <cp:lastPrinted>2021-11-01T06:38:00Z</cp:lastPrinted>
  <dcterms:created xsi:type="dcterms:W3CDTF">2021-10-29T09:08:00Z</dcterms:created>
  <dcterms:modified xsi:type="dcterms:W3CDTF">2021-11-01T06:42:00Z</dcterms:modified>
</cp:coreProperties>
</file>