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AE27" w14:textId="2AD08985" w:rsidR="00A56792" w:rsidRDefault="00A56792" w:rsidP="000876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bookmarkStart w:id="0" w:name="_Hlk34296544"/>
      <w:r w:rsidRPr="000876A9">
        <w:rPr>
          <w:rFonts w:ascii="Times New Roman" w:eastAsia="Times New Roman" w:hAnsi="Times New Roman"/>
          <w:b/>
          <w:sz w:val="28"/>
          <w:szCs w:val="28"/>
          <w:lang w:val="pt-BR"/>
        </w:rPr>
        <w:t>Anexa nr. 1</w:t>
      </w:r>
      <w:r w:rsidR="000876A9" w:rsidRPr="000876A9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</w:t>
      </w:r>
      <w:r w:rsidR="003B0D6E">
        <w:rPr>
          <w:rFonts w:ascii="Times New Roman" w:eastAsia="Times New Roman" w:hAnsi="Times New Roman"/>
          <w:b/>
          <w:sz w:val="28"/>
          <w:szCs w:val="28"/>
          <w:lang w:val="pt-BR"/>
        </w:rPr>
        <w:t>S</w:t>
      </w:r>
      <w:bookmarkStart w:id="1" w:name="_GoBack"/>
      <w:bookmarkEnd w:id="1"/>
      <w:r w:rsidR="000876A9" w:rsidRPr="000876A9">
        <w:rPr>
          <w:rFonts w:ascii="Times New Roman" w:eastAsia="Times New Roman" w:hAnsi="Times New Roman"/>
          <w:b/>
          <w:sz w:val="28"/>
          <w:szCs w:val="28"/>
          <w:lang w:val="pt-BR"/>
        </w:rPr>
        <w:t>atu Mare nr. 43/27.02.2020</w:t>
      </w:r>
    </w:p>
    <w:p w14:paraId="63AEF73E" w14:textId="77777777" w:rsidR="000876A9" w:rsidRDefault="000876A9" w:rsidP="000876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bookmarkEnd w:id="0"/>
    <w:p w14:paraId="26ECF8AE" w14:textId="77777777" w:rsidR="000876A9" w:rsidRPr="000876A9" w:rsidRDefault="000876A9" w:rsidP="000876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2719D000" w14:textId="77777777" w:rsidR="000876A9" w:rsidRDefault="00A56792" w:rsidP="000876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 xml:space="preserve">1. </w:t>
      </w:r>
      <w:r w:rsidR="00321F58" w:rsidRPr="00321F58">
        <w:rPr>
          <w:rFonts w:ascii="Times New Roman" w:hAnsi="Times New Roman"/>
          <w:sz w:val="24"/>
          <w:szCs w:val="24"/>
        </w:rPr>
        <w:t xml:space="preserve">În conformitate cu art. 20 alin. (6) din Regulamentul de valorificare a masei lemnoase din fondul forestier proprietate publică,  propunem spre aprobare, valorificarea  masei lemnoase fasonată, prin licitație deschisă cu strigare, din fondul forestier administrat de Ocolul Silvic </w:t>
      </w:r>
      <w:r w:rsidR="00321F58">
        <w:rPr>
          <w:rFonts w:ascii="Times New Roman" w:hAnsi="Times New Roman"/>
          <w:sz w:val="24"/>
          <w:szCs w:val="24"/>
        </w:rPr>
        <w:t>Satu Mare</w:t>
      </w:r>
      <w:r w:rsidR="00321F58" w:rsidRPr="00321F58">
        <w:rPr>
          <w:rFonts w:ascii="Times New Roman" w:hAnsi="Times New Roman"/>
          <w:sz w:val="24"/>
          <w:szCs w:val="24"/>
        </w:rPr>
        <w:t>, conform listei de mai jos:</w:t>
      </w:r>
    </w:p>
    <w:p w14:paraId="0F76A68C" w14:textId="78B3DC5D" w:rsidR="00A56792" w:rsidRPr="002F3842" w:rsidRDefault="00A56792" w:rsidP="000876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31"/>
        <w:tblW w:w="4348" w:type="pct"/>
        <w:tblLook w:val="04A0" w:firstRow="1" w:lastRow="0" w:firstColumn="1" w:lastColumn="0" w:noHBand="0" w:noVBand="1"/>
      </w:tblPr>
      <w:tblGrid>
        <w:gridCol w:w="889"/>
        <w:gridCol w:w="2525"/>
        <w:gridCol w:w="1589"/>
        <w:gridCol w:w="1589"/>
        <w:gridCol w:w="1589"/>
        <w:gridCol w:w="1986"/>
        <w:gridCol w:w="2247"/>
      </w:tblGrid>
      <w:tr w:rsidR="00321F58" w:rsidRPr="002F3842" w14:paraId="681F5C49" w14:textId="77777777" w:rsidTr="00321F58">
        <w:trPr>
          <w:trHeight w:val="1696"/>
        </w:trPr>
        <w:tc>
          <w:tcPr>
            <w:tcW w:w="358" w:type="pct"/>
            <w:tcBorders>
              <w:bottom w:val="single" w:sz="4" w:space="0" w:color="auto"/>
            </w:tcBorders>
          </w:tcPr>
          <w:p w14:paraId="55E006D3" w14:textId="77777777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Nr</w:t>
            </w:r>
          </w:p>
          <w:p w14:paraId="0E72AED0" w14:textId="77777777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crt</w:t>
            </w: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14:paraId="60A91317" w14:textId="77777777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Partida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67A93E59" w14:textId="135C4D02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3251E13F" w14:textId="726FEF3A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58">
              <w:rPr>
                <w:rFonts w:ascii="Times New Roman" w:hAnsi="Times New Roman"/>
                <w:sz w:val="24"/>
                <w:szCs w:val="24"/>
              </w:rPr>
              <w:t>Sortiment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514E35AB" w14:textId="4C60A2C9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Volum</w:t>
            </w:r>
          </w:p>
          <w:p w14:paraId="406DB292" w14:textId="77777777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01C0FBB3" w14:textId="4C9CA43D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Preț e pornire la licitație anterior mc/lei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6384B234" w14:textId="77777777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Pret de pornire la licitatie propus.</w:t>
            </w:r>
          </w:p>
          <w:p w14:paraId="74B56D3A" w14:textId="77777777" w:rsidR="00321F58" w:rsidRPr="002F3842" w:rsidRDefault="00321F58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lei/mc fara TVA</w:t>
            </w:r>
          </w:p>
        </w:tc>
      </w:tr>
      <w:tr w:rsidR="00321F58" w:rsidRPr="002F3842" w14:paraId="7CD41030" w14:textId="77777777" w:rsidTr="00321F58">
        <w:trPr>
          <w:trHeight w:val="59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447AB" w14:textId="77777777" w:rsidR="00321F58" w:rsidRPr="002F3842" w:rsidRDefault="00321F58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</w:tcPr>
          <w:p w14:paraId="5092B3DA" w14:textId="52F38727" w:rsidR="00321F58" w:rsidRPr="00012F1A" w:rsidRDefault="00321F58" w:rsidP="000E16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992989 Acc I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14:paraId="7277E3F6" w14:textId="077BB915" w:rsidR="00321F58" w:rsidRPr="00012F1A" w:rsidRDefault="00321F58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Stejar ped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14:paraId="13B2F29E" w14:textId="43F535FA" w:rsidR="00321F58" w:rsidRPr="00012F1A" w:rsidRDefault="00321F58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Gater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8A3D" w14:textId="57BBD699" w:rsidR="00321F58" w:rsidRPr="00012F1A" w:rsidRDefault="00321F58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60A0B" w14:textId="11350F31" w:rsidR="00321F58" w:rsidRPr="00012F1A" w:rsidRDefault="00321F58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C3791" w14:textId="0943692F" w:rsidR="00321F58" w:rsidRPr="00012F1A" w:rsidRDefault="00321F58" w:rsidP="00581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</w:tr>
      <w:tr w:rsidR="00321F58" w:rsidRPr="002F3842" w14:paraId="7E36BBF9" w14:textId="77777777" w:rsidTr="00321F58">
        <w:trPr>
          <w:trHeight w:val="45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DEF94" w14:textId="77777777" w:rsidR="00321F58" w:rsidRPr="002F3842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</w:tcPr>
          <w:p w14:paraId="3B11FACE" w14:textId="287CD12C" w:rsidR="00321F58" w:rsidRPr="00012F1A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1479693 Sr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14:paraId="1EFAA280" w14:textId="45104C80" w:rsidR="00321F58" w:rsidRPr="00012F1A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Stejar ped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14:paraId="03197F29" w14:textId="3075458A" w:rsidR="00321F58" w:rsidRPr="00012F1A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Gater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F96AA" w14:textId="0B31FCD9" w:rsidR="00321F58" w:rsidRPr="00012F1A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3CBD4" w14:textId="2B9FF27E" w:rsidR="00321F58" w:rsidRPr="00012F1A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F5636" w14:textId="7EB43194" w:rsidR="00321F58" w:rsidRPr="00012F1A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21F58" w:rsidRPr="002F3842" w14:paraId="39B56315" w14:textId="77777777" w:rsidTr="00321F58">
        <w:trPr>
          <w:trHeight w:val="45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63433" w14:textId="77777777" w:rsidR="00321F58" w:rsidRPr="002F3842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</w:tcPr>
          <w:p w14:paraId="4313C409" w14:textId="49F70EEB" w:rsidR="00321F58" w:rsidRPr="00012F1A" w:rsidRDefault="00321F58" w:rsidP="00321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1479698 Sr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14:paraId="6E5357AD" w14:textId="1D53AC35" w:rsidR="00321F58" w:rsidRPr="00012F1A" w:rsidRDefault="00321F58" w:rsidP="00321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Stejar ped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14:paraId="3CFF7D63" w14:textId="1DF99767" w:rsidR="00321F58" w:rsidRPr="00012F1A" w:rsidRDefault="00321F58" w:rsidP="00321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Gater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466CF" w14:textId="17BDCDAD" w:rsidR="00321F58" w:rsidRPr="00012F1A" w:rsidRDefault="00321F58" w:rsidP="00321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8EF5D" w14:textId="254EA129" w:rsidR="00321F58" w:rsidRPr="00012F1A" w:rsidRDefault="00321F58" w:rsidP="00321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3864B" w14:textId="3EA346F8" w:rsidR="00321F58" w:rsidRPr="00012F1A" w:rsidRDefault="00321F58" w:rsidP="00321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F1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321F58" w:rsidRPr="002F3842" w14:paraId="37D2E56A" w14:textId="77777777" w:rsidTr="00321F58">
        <w:trPr>
          <w:trHeight w:val="364"/>
        </w:trPr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8BFFF" w14:textId="77777777" w:rsidR="00321F58" w:rsidRPr="002F3842" w:rsidRDefault="00321F58" w:rsidP="000E16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6C0E" w14:textId="77777777" w:rsidR="00321F58" w:rsidRPr="002F3842" w:rsidRDefault="00321F58" w:rsidP="000E16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DA13C" w14:textId="77777777" w:rsidR="00321F58" w:rsidRPr="002F3842" w:rsidRDefault="00321F58" w:rsidP="000E16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C0E7F" w14:textId="77777777" w:rsidR="00321F58" w:rsidRPr="002F3842" w:rsidRDefault="00321F58" w:rsidP="000E16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04DCB" w14:textId="46BD6B59" w:rsidR="00321F58" w:rsidRPr="002F3842" w:rsidRDefault="00321F58" w:rsidP="000E16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4DDA0" w14:textId="77777777" w:rsidR="00321F58" w:rsidRDefault="00321F58" w:rsidP="000E1677">
            <w:pPr>
              <w:jc w:val="center"/>
              <w:rPr>
                <w:rFonts w:ascii="Times New Roman" w:hAnsi="Times New Roman"/>
              </w:rPr>
            </w:pPr>
          </w:p>
          <w:p w14:paraId="1DD63022" w14:textId="77777777" w:rsidR="00321F58" w:rsidRDefault="00321F58" w:rsidP="000E1677">
            <w:pPr>
              <w:jc w:val="center"/>
              <w:rPr>
                <w:rFonts w:ascii="Times New Roman" w:hAnsi="Times New Roman"/>
              </w:rPr>
            </w:pPr>
          </w:p>
          <w:p w14:paraId="4F255690" w14:textId="0A273984" w:rsidR="00321F58" w:rsidRPr="002F3842" w:rsidRDefault="00321F58" w:rsidP="000E16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6A8C7" w14:textId="77777777" w:rsidR="00321F58" w:rsidRPr="002F3842" w:rsidRDefault="00321F58" w:rsidP="000E167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BB027E9" w14:textId="77777777" w:rsidR="00321F58" w:rsidRDefault="0082183B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2F3842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</w:t>
      </w:r>
    </w:p>
    <w:p w14:paraId="035B145D" w14:textId="77777777" w:rsidR="00321F58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E578B89" w14:textId="77777777" w:rsidR="00321F58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6641734" w14:textId="77777777" w:rsidR="00321F58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B7F73D" w14:textId="43DD42B1" w:rsidR="00A56792" w:rsidRPr="00643C7E" w:rsidRDefault="0082183B" w:rsidP="00321F58">
      <w:pPr>
        <w:spacing w:after="0" w:line="276" w:lineRule="auto"/>
        <w:ind w:left="708" w:firstLine="708"/>
        <w:rPr>
          <w:rFonts w:ascii="Times New Roman" w:eastAsia="Times New Roman" w:hAnsi="Times New Roman"/>
          <w:sz w:val="26"/>
          <w:szCs w:val="26"/>
          <w:lang w:val="en-US"/>
        </w:rPr>
      </w:pPr>
      <w:r w:rsidRPr="00643C7E">
        <w:rPr>
          <w:rFonts w:ascii="Times New Roman" w:eastAsia="Times New Roman" w:hAnsi="Times New Roman"/>
          <w:sz w:val="26"/>
          <w:szCs w:val="26"/>
          <w:lang w:val="en-US"/>
        </w:rPr>
        <w:t>Primar</w:t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0E1677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321F58" w:rsidRPr="00643C7E">
        <w:rPr>
          <w:rFonts w:ascii="Times New Roman" w:eastAsia="Times New Roman" w:hAnsi="Times New Roman"/>
          <w:sz w:val="26"/>
          <w:szCs w:val="26"/>
          <w:lang w:val="en-US"/>
        </w:rPr>
        <w:t xml:space="preserve">         </w:t>
      </w:r>
      <w:r w:rsidR="00D6189A" w:rsidRPr="00643C7E">
        <w:rPr>
          <w:rFonts w:ascii="Times New Roman" w:eastAsia="Times New Roman" w:hAnsi="Times New Roman"/>
          <w:sz w:val="26"/>
          <w:szCs w:val="26"/>
          <w:lang w:val="ro-RO"/>
        </w:rPr>
        <w:t>Şef Serviciu Fond Funciar și Legile Proprietății</w:t>
      </w:r>
    </w:p>
    <w:p w14:paraId="4D2A895C" w14:textId="1DD6B4A0" w:rsidR="000876A9" w:rsidRDefault="00A56792" w:rsidP="000876A9">
      <w:pPr>
        <w:spacing w:after="0" w:line="276" w:lineRule="auto"/>
        <w:ind w:firstLine="720"/>
        <w:rPr>
          <w:rFonts w:ascii="Times New Roman" w:eastAsia="Times New Roman" w:hAnsi="Times New Roman"/>
          <w:sz w:val="26"/>
          <w:szCs w:val="26"/>
          <w:lang w:val="ro-RO"/>
        </w:rPr>
      </w:pPr>
      <w:r w:rsidRPr="00643C7E">
        <w:rPr>
          <w:rFonts w:ascii="Times New Roman" w:eastAsia="Times New Roman" w:hAnsi="Times New Roman"/>
          <w:sz w:val="26"/>
          <w:szCs w:val="26"/>
          <w:lang w:val="hu-HU"/>
        </w:rPr>
        <w:t xml:space="preserve">KERESKÉNYI </w:t>
      </w:r>
      <w:r w:rsidR="00AD3B08" w:rsidRPr="00643C7E">
        <w:rPr>
          <w:rFonts w:ascii="Times New Roman" w:eastAsia="Times New Roman" w:hAnsi="Times New Roman"/>
          <w:sz w:val="26"/>
          <w:szCs w:val="26"/>
          <w:lang w:val="hu-HU"/>
        </w:rPr>
        <w:t xml:space="preserve"> </w:t>
      </w:r>
      <w:r w:rsidRPr="00643C7E">
        <w:rPr>
          <w:rFonts w:ascii="Times New Roman" w:eastAsia="Times New Roman" w:hAnsi="Times New Roman"/>
          <w:sz w:val="26"/>
          <w:szCs w:val="26"/>
          <w:lang w:val="hu-HU"/>
        </w:rPr>
        <w:t>GÁBOR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</w:t>
      </w:r>
      <w:r w:rsidR="0082183B"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 w:rsidR="000E1677"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ZIMAN DOI</w:t>
      </w:r>
      <w:r w:rsidR="000876A9">
        <w:rPr>
          <w:rFonts w:ascii="Times New Roman" w:eastAsia="Times New Roman" w:hAnsi="Times New Roman"/>
          <w:sz w:val="26"/>
          <w:szCs w:val="26"/>
          <w:lang w:val="ro-RO"/>
        </w:rPr>
        <w:t>NA</w:t>
      </w:r>
    </w:p>
    <w:p w14:paraId="50DC198B" w14:textId="26CCC4E9" w:rsidR="000876A9" w:rsidRDefault="000876A9" w:rsidP="000876A9">
      <w:pPr>
        <w:spacing w:after="0" w:line="276" w:lineRule="auto"/>
        <w:ind w:firstLine="720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18AAE933" w14:textId="77777777" w:rsidR="000876A9" w:rsidRDefault="000876A9" w:rsidP="000876A9">
      <w:pPr>
        <w:spacing w:after="0" w:line="276" w:lineRule="auto"/>
        <w:ind w:firstLine="720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4B39CA4C" w14:textId="4B2E6020" w:rsidR="000876A9" w:rsidRPr="000876A9" w:rsidRDefault="000876A9" w:rsidP="000876A9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  <w:r w:rsidRPr="000876A9">
        <w:rPr>
          <w:rFonts w:ascii="Times New Roman" w:eastAsia="Times New Roman" w:hAnsi="Times New Roman"/>
          <w:sz w:val="28"/>
          <w:szCs w:val="28"/>
          <w:lang w:val="ro-RO"/>
        </w:rPr>
        <w:t xml:space="preserve">          Președinte de ședință                                                                                            Secretar general,</w:t>
      </w:r>
    </w:p>
    <w:p w14:paraId="0312ABAA" w14:textId="4F9B0875" w:rsidR="000876A9" w:rsidRPr="000876A9" w:rsidRDefault="000876A9" w:rsidP="000876A9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  <w:r w:rsidRPr="000876A9">
        <w:rPr>
          <w:rFonts w:ascii="Times New Roman" w:eastAsia="Times New Roman" w:hAnsi="Times New Roman"/>
          <w:sz w:val="28"/>
          <w:szCs w:val="28"/>
          <w:lang w:val="ro-RO"/>
        </w:rPr>
        <w:t xml:space="preserve">          ALBU ADRIAN                                                                                     MIHAELA MARIA RACOLȚA      </w:t>
      </w:r>
    </w:p>
    <w:p w14:paraId="7E505B5E" w14:textId="77777777" w:rsidR="000876A9" w:rsidRPr="000876A9" w:rsidRDefault="000876A9" w:rsidP="000876A9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BCE1158" w14:textId="77777777" w:rsidR="000876A9" w:rsidRDefault="000876A9" w:rsidP="000876A9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18AF012" w14:textId="5B7C58F9" w:rsidR="00581CFC" w:rsidRDefault="00581CFC" w:rsidP="00321F58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4E1B50EB" w14:textId="09A05762" w:rsidR="000876A9" w:rsidRDefault="000876A9" w:rsidP="00321F58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17877092" w14:textId="3F99B48B" w:rsidR="000876A9" w:rsidRDefault="000876A9" w:rsidP="000876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0876A9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 xml:space="preserve">Anexa nr.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0876A9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</w:t>
      </w:r>
      <w:r w:rsidR="003B0D6E">
        <w:rPr>
          <w:rFonts w:ascii="Times New Roman" w:eastAsia="Times New Roman" w:hAnsi="Times New Roman"/>
          <w:b/>
          <w:sz w:val="28"/>
          <w:szCs w:val="28"/>
          <w:lang w:val="pt-BR"/>
        </w:rPr>
        <w:t>S</w:t>
      </w:r>
      <w:r w:rsidRPr="000876A9">
        <w:rPr>
          <w:rFonts w:ascii="Times New Roman" w:eastAsia="Times New Roman" w:hAnsi="Times New Roman"/>
          <w:b/>
          <w:sz w:val="28"/>
          <w:szCs w:val="28"/>
          <w:lang w:val="pt-BR"/>
        </w:rPr>
        <w:t>atu Mare nr. 43/27.02.2020</w:t>
      </w:r>
    </w:p>
    <w:p w14:paraId="41F63E25" w14:textId="77777777" w:rsidR="000876A9" w:rsidRDefault="000876A9" w:rsidP="000876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7165A8AB" w14:textId="77777777" w:rsidR="00321F58" w:rsidRPr="002F3842" w:rsidRDefault="00321F58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0947A33" w14:textId="4353316E" w:rsidR="000E1677" w:rsidRPr="002F3842" w:rsidRDefault="000E1677" w:rsidP="000E16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 xml:space="preserve">2. În conformitate cu art. 20 alin. (6) din Regulamentul de valorificare a masei lemnoase din fondul forestier proprietate publică,  </w:t>
      </w:r>
      <w:r w:rsidR="002F3842">
        <w:rPr>
          <w:rFonts w:ascii="Times New Roman" w:hAnsi="Times New Roman"/>
          <w:sz w:val="24"/>
          <w:szCs w:val="24"/>
        </w:rPr>
        <w:t xml:space="preserve">propunem spre </w:t>
      </w:r>
      <w:r w:rsidRPr="002F3842">
        <w:rPr>
          <w:rFonts w:ascii="Times New Roman" w:hAnsi="Times New Roman"/>
          <w:sz w:val="24"/>
          <w:szCs w:val="24"/>
        </w:rPr>
        <w:t>aprob</w:t>
      </w:r>
      <w:r w:rsidR="002F3842">
        <w:rPr>
          <w:rFonts w:ascii="Times New Roman" w:hAnsi="Times New Roman"/>
          <w:sz w:val="24"/>
          <w:szCs w:val="24"/>
        </w:rPr>
        <w:t>are,</w:t>
      </w:r>
      <w:r w:rsidRPr="002F3842">
        <w:rPr>
          <w:rFonts w:ascii="Times New Roman" w:hAnsi="Times New Roman"/>
          <w:sz w:val="24"/>
          <w:szCs w:val="24"/>
        </w:rPr>
        <w:t xml:space="preserve"> valorificare</w:t>
      </w:r>
      <w:r w:rsidR="002F3842">
        <w:rPr>
          <w:rFonts w:ascii="Times New Roman" w:hAnsi="Times New Roman"/>
          <w:sz w:val="24"/>
          <w:szCs w:val="24"/>
        </w:rPr>
        <w:t>a</w:t>
      </w:r>
      <w:r w:rsidRPr="002F3842">
        <w:rPr>
          <w:rFonts w:ascii="Times New Roman" w:hAnsi="Times New Roman"/>
          <w:sz w:val="24"/>
          <w:szCs w:val="24"/>
        </w:rPr>
        <w:t xml:space="preserve"> </w:t>
      </w:r>
      <w:r w:rsidRPr="002F3842">
        <w:rPr>
          <w:rFonts w:ascii="Times New Roman" w:hAnsi="Times New Roman"/>
          <w:b/>
          <w:sz w:val="24"/>
          <w:szCs w:val="24"/>
        </w:rPr>
        <w:t xml:space="preserve"> </w:t>
      </w:r>
      <w:r w:rsidRPr="002F3842">
        <w:rPr>
          <w:rFonts w:ascii="Times New Roman" w:hAnsi="Times New Roman"/>
          <w:sz w:val="24"/>
          <w:szCs w:val="24"/>
        </w:rPr>
        <w:t>mas</w:t>
      </w:r>
      <w:r w:rsidR="002F3842">
        <w:rPr>
          <w:rFonts w:ascii="Times New Roman" w:hAnsi="Times New Roman"/>
          <w:sz w:val="24"/>
          <w:szCs w:val="24"/>
        </w:rPr>
        <w:t>ei</w:t>
      </w:r>
      <w:r w:rsidRPr="002F3842">
        <w:rPr>
          <w:rFonts w:ascii="Times New Roman" w:hAnsi="Times New Roman"/>
          <w:sz w:val="24"/>
          <w:szCs w:val="24"/>
        </w:rPr>
        <w:t xml:space="preserve"> lemnoas</w:t>
      </w:r>
      <w:r w:rsidR="002F3842">
        <w:rPr>
          <w:rFonts w:ascii="Times New Roman" w:hAnsi="Times New Roman"/>
          <w:sz w:val="24"/>
          <w:szCs w:val="24"/>
        </w:rPr>
        <w:t>e</w:t>
      </w:r>
      <w:r w:rsidRPr="002F3842">
        <w:rPr>
          <w:rFonts w:ascii="Times New Roman" w:hAnsi="Times New Roman"/>
          <w:sz w:val="24"/>
          <w:szCs w:val="24"/>
        </w:rPr>
        <w:t xml:space="preserve"> fasonată, prin licitație deschisă cu strigare, din fondul forestier administrat de Ocolul Silvic </w:t>
      </w:r>
      <w:r w:rsidR="00321F58">
        <w:rPr>
          <w:rFonts w:ascii="Times New Roman" w:hAnsi="Times New Roman"/>
          <w:sz w:val="24"/>
          <w:szCs w:val="24"/>
        </w:rPr>
        <w:t>Satu Mare</w:t>
      </w:r>
      <w:r w:rsidRPr="002F3842">
        <w:rPr>
          <w:rFonts w:ascii="Times New Roman" w:hAnsi="Times New Roman"/>
          <w:sz w:val="24"/>
          <w:szCs w:val="24"/>
        </w:rPr>
        <w:t xml:space="preserve">, conform listei de mai jos: </w:t>
      </w:r>
    </w:p>
    <w:p w14:paraId="2B20BBEA" w14:textId="77777777" w:rsidR="000E1677" w:rsidRPr="002F3842" w:rsidRDefault="000E1677" w:rsidP="000E1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6272B9C" w14:textId="77777777" w:rsidR="00321F58" w:rsidRPr="002F3842" w:rsidRDefault="00A56792" w:rsidP="00A567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 xml:space="preserve">     </w:t>
      </w:r>
      <w:r w:rsidRPr="002F3842">
        <w:rPr>
          <w:rFonts w:ascii="Times New Roman" w:hAnsi="Times New Roman"/>
          <w:b/>
          <w:sz w:val="24"/>
          <w:szCs w:val="24"/>
        </w:rPr>
        <w:t xml:space="preserve"> </w:t>
      </w:r>
      <w:r w:rsidRPr="002F3842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-31"/>
        <w:tblW w:w="4348" w:type="pct"/>
        <w:tblLook w:val="04A0" w:firstRow="1" w:lastRow="0" w:firstColumn="1" w:lastColumn="0" w:noHBand="0" w:noVBand="1"/>
      </w:tblPr>
      <w:tblGrid>
        <w:gridCol w:w="889"/>
        <w:gridCol w:w="2525"/>
        <w:gridCol w:w="1589"/>
        <w:gridCol w:w="1589"/>
        <w:gridCol w:w="1589"/>
        <w:gridCol w:w="1986"/>
        <w:gridCol w:w="2247"/>
      </w:tblGrid>
      <w:tr w:rsidR="00321F58" w:rsidRPr="002F3842" w14:paraId="3277CB57" w14:textId="77777777" w:rsidTr="0054710B">
        <w:trPr>
          <w:trHeight w:val="1696"/>
        </w:trPr>
        <w:tc>
          <w:tcPr>
            <w:tcW w:w="358" w:type="pct"/>
            <w:tcBorders>
              <w:bottom w:val="single" w:sz="4" w:space="0" w:color="auto"/>
            </w:tcBorders>
          </w:tcPr>
          <w:p w14:paraId="27C0C0C9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Nr</w:t>
            </w:r>
          </w:p>
          <w:p w14:paraId="28B0B2F1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crt</w:t>
            </w: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14:paraId="1DCD8BD0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Partida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7179703E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5AD3F7E1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58">
              <w:rPr>
                <w:rFonts w:ascii="Times New Roman" w:hAnsi="Times New Roman"/>
                <w:sz w:val="24"/>
                <w:szCs w:val="24"/>
              </w:rPr>
              <w:t>Sortiment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10D9483C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Volum</w:t>
            </w:r>
          </w:p>
          <w:p w14:paraId="7AB4E2EF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0872F36C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Preț e pornire la licitație anterior mc/lei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3CF12ECE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Pret de pornire la licitatie propus.</w:t>
            </w:r>
          </w:p>
          <w:p w14:paraId="0B9D7400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lei/mc fara TVA</w:t>
            </w:r>
          </w:p>
        </w:tc>
      </w:tr>
      <w:tr w:rsidR="00321F58" w:rsidRPr="002F3842" w14:paraId="0DD8CCE8" w14:textId="77777777" w:rsidTr="0054710B">
        <w:trPr>
          <w:trHeight w:val="59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089F2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</w:tcPr>
          <w:p w14:paraId="4D78CB60" w14:textId="266C44DE" w:rsidR="00321F58" w:rsidRPr="002F3842" w:rsidRDefault="00321F58" w:rsidP="00547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1495451</w:t>
            </w:r>
            <w:r w:rsidR="00012F1A">
              <w:rPr>
                <w:rFonts w:ascii="Times New Roman" w:hAnsi="Times New Roman"/>
                <w:sz w:val="24"/>
                <w:szCs w:val="24"/>
              </w:rPr>
              <w:t xml:space="preserve"> Sr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14:paraId="2E1F0023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Stejar ped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14:paraId="76550585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Gater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1B21C" w14:textId="1A45F250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A9A23" w14:textId="2F9BF3EE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812DF" w14:textId="79D7764C" w:rsidR="00321F58" w:rsidRPr="002F3842" w:rsidRDefault="00321F58" w:rsidP="005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21F58" w:rsidRPr="002F3842" w14:paraId="2C3B2C26" w14:textId="77777777" w:rsidTr="0054710B">
        <w:trPr>
          <w:trHeight w:val="364"/>
        </w:trPr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9459B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01724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46CAA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96C28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70F6C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79AB7" w14:textId="77777777" w:rsidR="00321F58" w:rsidRPr="002F3842" w:rsidRDefault="00321F58" w:rsidP="00547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AE150" w14:textId="77777777" w:rsidR="00321F58" w:rsidRDefault="00321F58" w:rsidP="0054710B">
            <w:pPr>
              <w:jc w:val="center"/>
              <w:rPr>
                <w:rFonts w:ascii="Times New Roman" w:hAnsi="Times New Roman"/>
              </w:rPr>
            </w:pPr>
          </w:p>
          <w:p w14:paraId="47B42E96" w14:textId="77777777" w:rsidR="00321F58" w:rsidRDefault="00321F58" w:rsidP="0054710B">
            <w:pPr>
              <w:jc w:val="center"/>
              <w:rPr>
                <w:rFonts w:ascii="Times New Roman" w:hAnsi="Times New Roman"/>
              </w:rPr>
            </w:pPr>
          </w:p>
          <w:p w14:paraId="5CB7EF50" w14:textId="77777777" w:rsidR="00321F58" w:rsidRDefault="00321F58" w:rsidP="0054710B">
            <w:pPr>
              <w:jc w:val="center"/>
              <w:rPr>
                <w:rFonts w:ascii="Times New Roman" w:hAnsi="Times New Roman"/>
              </w:rPr>
            </w:pPr>
          </w:p>
          <w:p w14:paraId="6E0761AD" w14:textId="666C1D96" w:rsidR="00321F58" w:rsidRPr="002F3842" w:rsidRDefault="00321F58" w:rsidP="005471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5F74F07" w14:textId="1AB7543B" w:rsidR="00A56792" w:rsidRPr="002F3842" w:rsidRDefault="00A56792" w:rsidP="00A567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9F81C8" w14:textId="77777777" w:rsidR="0082183B" w:rsidRPr="002F3842" w:rsidRDefault="0082183B" w:rsidP="0082183B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884ADEC" w14:textId="77777777" w:rsidR="00321F58" w:rsidRDefault="0082183B" w:rsidP="000E1677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en-US"/>
        </w:rPr>
      </w:pPr>
      <w:r w:rsidRPr="002F3842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</w:p>
    <w:p w14:paraId="2CC69148" w14:textId="77777777" w:rsidR="00321F58" w:rsidRDefault="00321F58" w:rsidP="000E1677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1429F03" w14:textId="1D81F475" w:rsidR="000E1677" w:rsidRPr="00643C7E" w:rsidRDefault="0082183B" w:rsidP="00321F58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  <w:r w:rsidRPr="00643C7E">
        <w:rPr>
          <w:rFonts w:ascii="Times New Roman" w:eastAsia="Times New Roman" w:hAnsi="Times New Roman"/>
          <w:sz w:val="26"/>
          <w:szCs w:val="26"/>
          <w:lang w:val="en-US"/>
        </w:rPr>
        <w:t>Primar</w:t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6189A" w:rsidRPr="00643C7E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643C7E">
        <w:rPr>
          <w:rFonts w:ascii="Times New Roman" w:eastAsia="Times New Roman" w:hAnsi="Times New Roman"/>
          <w:sz w:val="26"/>
          <w:szCs w:val="26"/>
          <w:lang w:val="en-US"/>
        </w:rPr>
        <w:t xml:space="preserve">          </w:t>
      </w:r>
      <w:r w:rsidR="00D6189A" w:rsidRPr="00643C7E">
        <w:rPr>
          <w:rFonts w:ascii="Times New Roman" w:eastAsia="Times New Roman" w:hAnsi="Times New Roman"/>
          <w:sz w:val="26"/>
          <w:szCs w:val="26"/>
          <w:lang w:val="ro-RO"/>
        </w:rPr>
        <w:t>Şef Serviciu Fond Funciar și Legile Proprietății</w:t>
      </w:r>
    </w:p>
    <w:p w14:paraId="6CBD44B7" w14:textId="77777777" w:rsidR="000876A9" w:rsidRDefault="000E1677" w:rsidP="000E167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/>
        </w:rPr>
      </w:pPr>
      <w:r w:rsidRPr="00643C7E">
        <w:rPr>
          <w:rFonts w:ascii="Times New Roman" w:eastAsia="Times New Roman" w:hAnsi="Times New Roman"/>
          <w:sz w:val="26"/>
          <w:szCs w:val="26"/>
          <w:lang w:val="hu-HU"/>
        </w:rPr>
        <w:t xml:space="preserve">             </w:t>
      </w:r>
      <w:r w:rsidR="0082183B" w:rsidRPr="00643C7E">
        <w:rPr>
          <w:rFonts w:ascii="Times New Roman" w:eastAsia="Times New Roman" w:hAnsi="Times New Roman"/>
          <w:sz w:val="26"/>
          <w:szCs w:val="26"/>
          <w:lang w:val="hu-HU"/>
        </w:rPr>
        <w:t>KERESKÉNYI GÁBOR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</w:t>
      </w:r>
      <w:r w:rsidR="0082183B"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</w:t>
      </w:r>
      <w:r w:rsidR="0082183B"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ZIMAN DOINA</w:t>
      </w:r>
      <w:r w:rsidR="0082183B"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</w:t>
      </w:r>
    </w:p>
    <w:p w14:paraId="5119E668" w14:textId="77777777" w:rsidR="000876A9" w:rsidRDefault="000876A9" w:rsidP="000E167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76FC321C" w14:textId="77777777" w:rsidR="000876A9" w:rsidRDefault="0082183B" w:rsidP="000E167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/>
        </w:rPr>
      </w:pP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</w:t>
      </w:r>
    </w:p>
    <w:p w14:paraId="03DB0944" w14:textId="7F1580D4" w:rsidR="0082183B" w:rsidRPr="00643C7E" w:rsidRDefault="0082183B" w:rsidP="000E167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/>
        </w:rPr>
      </w:pP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</w:t>
      </w:r>
      <w:r w:rsidR="000E1677"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</w:t>
      </w:r>
    </w:p>
    <w:p w14:paraId="69A900FD" w14:textId="77777777" w:rsidR="000876A9" w:rsidRPr="000876A9" w:rsidRDefault="000876A9" w:rsidP="000876A9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  <w:r w:rsidRPr="000876A9">
        <w:rPr>
          <w:rFonts w:ascii="Times New Roman" w:eastAsia="Times New Roman" w:hAnsi="Times New Roman"/>
          <w:sz w:val="28"/>
          <w:szCs w:val="28"/>
          <w:lang w:val="ro-RO"/>
        </w:rPr>
        <w:t xml:space="preserve">          Președinte de ședință                                                                                            Secretar general,</w:t>
      </w:r>
    </w:p>
    <w:p w14:paraId="1397E89E" w14:textId="77777777" w:rsidR="000876A9" w:rsidRPr="000876A9" w:rsidRDefault="000876A9" w:rsidP="000876A9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  <w:r w:rsidRPr="000876A9">
        <w:rPr>
          <w:rFonts w:ascii="Times New Roman" w:eastAsia="Times New Roman" w:hAnsi="Times New Roman"/>
          <w:sz w:val="28"/>
          <w:szCs w:val="28"/>
          <w:lang w:val="ro-RO"/>
        </w:rPr>
        <w:t xml:space="preserve">          ALBU ADRIAN                                                                                     MIHAELA MARIA RACOLȚA      </w:t>
      </w:r>
    </w:p>
    <w:p w14:paraId="45C3AECB" w14:textId="77777777" w:rsidR="000876A9" w:rsidRPr="000876A9" w:rsidRDefault="000876A9" w:rsidP="000876A9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6477095" w14:textId="23EABD07" w:rsidR="003D16FD" w:rsidRPr="002F3842" w:rsidRDefault="00F32204" w:rsidP="0082183B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val="ro-RO"/>
        </w:rPr>
      </w:pPr>
    </w:p>
    <w:sectPr w:rsidR="003D16FD" w:rsidRPr="002F3842" w:rsidSect="000876A9">
      <w:pgSz w:w="16838" w:h="11906" w:orient="landscape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C4283" w14:textId="77777777" w:rsidR="00F32204" w:rsidRDefault="00F32204" w:rsidP="002F3842">
      <w:pPr>
        <w:spacing w:after="0" w:line="240" w:lineRule="auto"/>
      </w:pPr>
      <w:r>
        <w:separator/>
      </w:r>
    </w:p>
  </w:endnote>
  <w:endnote w:type="continuationSeparator" w:id="0">
    <w:p w14:paraId="11442396" w14:textId="77777777" w:rsidR="00F32204" w:rsidRDefault="00F32204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620F6" w14:textId="77777777" w:rsidR="00F32204" w:rsidRDefault="00F32204" w:rsidP="002F3842">
      <w:pPr>
        <w:spacing w:after="0" w:line="240" w:lineRule="auto"/>
      </w:pPr>
      <w:r>
        <w:separator/>
      </w:r>
    </w:p>
  </w:footnote>
  <w:footnote w:type="continuationSeparator" w:id="0">
    <w:p w14:paraId="0E2C3FD0" w14:textId="77777777" w:rsidR="00F32204" w:rsidRDefault="00F32204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876A9"/>
    <w:rsid w:val="000E1677"/>
    <w:rsid w:val="002F3842"/>
    <w:rsid w:val="00321F58"/>
    <w:rsid w:val="003B0D6E"/>
    <w:rsid w:val="00434E09"/>
    <w:rsid w:val="00581CFC"/>
    <w:rsid w:val="00643C7E"/>
    <w:rsid w:val="0082183B"/>
    <w:rsid w:val="00824E0C"/>
    <w:rsid w:val="00963C24"/>
    <w:rsid w:val="00A10624"/>
    <w:rsid w:val="00A56792"/>
    <w:rsid w:val="00A82621"/>
    <w:rsid w:val="00AD3B08"/>
    <w:rsid w:val="00B24BB2"/>
    <w:rsid w:val="00D6189A"/>
    <w:rsid w:val="00F32204"/>
    <w:rsid w:val="00F41F8C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6</cp:revision>
  <cp:lastPrinted>2020-03-05T08:29:00Z</cp:lastPrinted>
  <dcterms:created xsi:type="dcterms:W3CDTF">2020-02-20T08:32:00Z</dcterms:created>
  <dcterms:modified xsi:type="dcterms:W3CDTF">2020-03-05T08:30:00Z</dcterms:modified>
</cp:coreProperties>
</file>