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numPr>
          <w:ilvl w:val="3"/>
          <w:numId w:val="1"/>
        </w:numPr>
        <w:rPr>
          <w:rFonts w:cs="Arial"/>
          <w:sz w:val="28"/>
          <w:szCs w:val="28"/>
        </w:rPr>
      </w:pPr>
      <w:bookmarkStart w:id="4" w:name="_GoBack"/>
      <w:bookmarkEnd w:id="4"/>
      <w:r>
        <w:rPr>
          <w:rFonts w:cs="Arial"/>
          <w:sz w:val="28"/>
          <w:szCs w:val="28"/>
        </w:rPr>
        <w:t>APROBAT prin HCL nr..............DIN..................................</w:t>
      </w:r>
    </w:p>
    <w:p>
      <w:pPr>
        <w:rPr>
          <w:sz w:val="28"/>
          <w:szCs w:val="28"/>
        </w:rPr>
      </w:pPr>
      <w:r>
        <w:rPr>
          <w:sz w:val="28"/>
          <w:szCs w:val="28"/>
        </w:rPr>
        <w:tab/>
      </w:r>
      <w:r>
        <w:rPr>
          <w:sz w:val="28"/>
          <w:szCs w:val="28"/>
        </w:rPr>
        <w:tab/>
      </w:r>
      <w:r>
        <w:rPr>
          <w:sz w:val="28"/>
          <w:szCs w:val="28"/>
        </w:rPr>
        <w:tab/>
      </w:r>
      <w:r>
        <w:rPr>
          <w:sz w:val="28"/>
          <w:szCs w:val="28"/>
        </w:rPr>
        <w:tab/>
      </w:r>
      <w:r>
        <w:rPr>
          <w:sz w:val="28"/>
          <w:szCs w:val="28"/>
        </w:rPr>
        <w:tab/>
      </w:r>
    </w:p>
    <w:p>
      <w:pPr>
        <w:rPr>
          <w:b/>
          <w:i/>
          <w:sz w:val="28"/>
          <w:szCs w:val="28"/>
          <w:u w:val="single"/>
        </w:rPr>
      </w:pPr>
    </w:p>
    <w:p>
      <w:pPr>
        <w:rPr>
          <w:b/>
          <w:i/>
          <w:sz w:val="28"/>
          <w:szCs w:val="28"/>
          <w:u w:val="single"/>
        </w:rPr>
      </w:pPr>
    </w:p>
    <w:p>
      <w:pPr>
        <w:spacing w:line="480" w:lineRule="auto"/>
        <w:ind w:left="142"/>
        <w:jc w:val="center"/>
        <w:rPr>
          <w:rFonts w:eastAsia="Times New Roman"/>
          <w:b/>
          <w:bCs/>
          <w:i/>
          <w:sz w:val="28"/>
          <w:szCs w:val="28"/>
          <w:u w:val="single"/>
        </w:rPr>
      </w:pPr>
    </w:p>
    <w:p>
      <w:pPr>
        <w:spacing w:line="480" w:lineRule="auto"/>
        <w:ind w:left="142"/>
        <w:jc w:val="center"/>
        <w:rPr>
          <w:rFonts w:eastAsia="Times New Roman"/>
          <w:b/>
          <w:bCs/>
          <w:i/>
          <w:sz w:val="28"/>
          <w:szCs w:val="28"/>
          <w:u w:val="single"/>
        </w:rPr>
      </w:pPr>
    </w:p>
    <w:p>
      <w:pPr>
        <w:spacing w:line="480" w:lineRule="auto"/>
        <w:rPr>
          <w:rFonts w:eastAsia="Times New Roman"/>
          <w:b/>
          <w:bCs/>
          <w:i/>
          <w:sz w:val="28"/>
          <w:szCs w:val="28"/>
          <w:u w:val="single"/>
        </w:rPr>
      </w:pPr>
    </w:p>
    <w:p>
      <w:pPr>
        <w:spacing w:line="480" w:lineRule="auto"/>
        <w:rPr>
          <w:rFonts w:eastAsia="Times New Roman"/>
          <w:b/>
          <w:bCs/>
          <w:i/>
          <w:sz w:val="28"/>
          <w:szCs w:val="28"/>
          <w:u w:val="single"/>
        </w:rPr>
      </w:pPr>
    </w:p>
    <w:p>
      <w:pPr>
        <w:spacing w:line="480" w:lineRule="auto"/>
        <w:ind w:left="142"/>
        <w:jc w:val="center"/>
        <w:rPr>
          <w:rFonts w:ascii="Times New Roman" w:hAnsi="Times New Roman" w:cs="Times New Roman"/>
          <w:sz w:val="48"/>
          <w:szCs w:val="48"/>
        </w:rPr>
      </w:pPr>
      <w:r>
        <w:rPr>
          <w:rFonts w:ascii="Times New Roman" w:hAnsi="Times New Roman" w:eastAsia="Times New Roman" w:cs="Times New Roman"/>
          <w:b/>
          <w:bCs/>
          <w:sz w:val="48"/>
          <w:szCs w:val="48"/>
        </w:rPr>
        <w:t xml:space="preserve">CAIET DE SARCINI </w:t>
      </w:r>
    </w:p>
    <w:p>
      <w:pPr>
        <w:spacing w:line="240" w:lineRule="auto"/>
        <w:ind w:left="142"/>
        <w:jc w:val="center"/>
        <w:rPr>
          <w:rFonts w:ascii="Times New Roman" w:hAnsi="Times New Roman" w:eastAsia="Times New Roman" w:cs="Times New Roman"/>
          <w:b/>
          <w:bCs/>
          <w:color w:val="000000"/>
          <w:sz w:val="48"/>
          <w:szCs w:val="48"/>
          <w:lang w:val="fr-CA"/>
        </w:rPr>
      </w:pPr>
      <w:r>
        <w:rPr>
          <w:rFonts w:ascii="Times New Roman" w:hAnsi="Times New Roman" w:eastAsia="Times New Roman" w:cs="Times New Roman"/>
          <w:b/>
          <w:bCs/>
          <w:color w:val="000000"/>
          <w:sz w:val="48"/>
          <w:szCs w:val="48"/>
          <w:lang w:val="fr-CA"/>
        </w:rPr>
        <w:t>Pentru delegarea de gestiune</w:t>
      </w:r>
    </w:p>
    <w:p>
      <w:pPr>
        <w:spacing w:line="240" w:lineRule="auto"/>
        <w:ind w:left="142"/>
        <w:jc w:val="center"/>
        <w:rPr>
          <w:rFonts w:ascii="Times New Roman" w:hAnsi="Times New Roman" w:cs="Times New Roman"/>
          <w:sz w:val="48"/>
          <w:szCs w:val="48"/>
        </w:rPr>
      </w:pPr>
      <w:r>
        <w:rPr>
          <w:rFonts w:ascii="Times New Roman" w:hAnsi="Times New Roman" w:eastAsia="Times New Roman" w:cs="Times New Roman"/>
          <w:b/>
          <w:color w:val="000000"/>
          <w:sz w:val="48"/>
          <w:szCs w:val="48"/>
          <w:lang w:val="fr-CA"/>
        </w:rPr>
        <w:t>a Serviciului de iluminat public din</w:t>
      </w:r>
    </w:p>
    <w:p>
      <w:pPr>
        <w:spacing w:line="240" w:lineRule="auto"/>
        <w:ind w:left="142"/>
        <w:jc w:val="center"/>
        <w:rPr>
          <w:rFonts w:ascii="Times New Roman" w:hAnsi="Times New Roman" w:eastAsia="Times New Roman" w:cs="Times New Roman"/>
          <w:b/>
          <w:color w:val="000000"/>
          <w:sz w:val="48"/>
          <w:szCs w:val="48"/>
          <w:lang w:val="fr-CA"/>
        </w:rPr>
      </w:pPr>
    </w:p>
    <w:p>
      <w:pPr>
        <w:spacing w:line="240" w:lineRule="auto"/>
        <w:ind w:left="142"/>
        <w:jc w:val="center"/>
        <w:rPr>
          <w:rFonts w:ascii="Times New Roman" w:hAnsi="Times New Roman" w:eastAsia="Times New Roman" w:cs="Times New Roman"/>
          <w:b/>
          <w:color w:val="000000"/>
          <w:sz w:val="48"/>
          <w:szCs w:val="48"/>
        </w:rPr>
      </w:pPr>
      <w:r>
        <w:rPr>
          <w:rFonts w:ascii="Times New Roman" w:hAnsi="Times New Roman" w:eastAsia="Times New Roman" w:cs="Times New Roman"/>
          <w:b/>
          <w:color w:val="000000"/>
          <w:sz w:val="48"/>
          <w:szCs w:val="48"/>
        </w:rPr>
        <w:t>COMUNA PREUTESTI ,</w:t>
      </w:r>
    </w:p>
    <w:p>
      <w:pPr>
        <w:spacing w:line="240" w:lineRule="auto"/>
        <w:ind w:left="142"/>
        <w:jc w:val="center"/>
        <w:rPr>
          <w:rFonts w:ascii="Times New Roman" w:hAnsi="Times New Roman" w:cs="Times New Roman"/>
          <w:sz w:val="48"/>
          <w:szCs w:val="48"/>
        </w:rPr>
      </w:pPr>
      <w:r>
        <w:rPr>
          <w:rFonts w:ascii="Times New Roman" w:hAnsi="Times New Roman" w:eastAsia="Times New Roman" w:cs="Times New Roman"/>
          <w:b/>
          <w:color w:val="000000"/>
          <w:sz w:val="48"/>
          <w:szCs w:val="48"/>
        </w:rPr>
        <w:t>JUDETUL SUCEAVA</w:t>
      </w:r>
    </w:p>
    <w:p>
      <w:pPr>
        <w:spacing w:line="240" w:lineRule="auto"/>
        <w:ind w:left="142"/>
        <w:jc w:val="center"/>
        <w:rPr>
          <w:rFonts w:ascii="Times New Roman" w:hAnsi="Times New Roman" w:eastAsia="Times New Roman" w:cs="Times New Roman"/>
          <w:b/>
          <w:bCs/>
          <w:color w:val="000000"/>
          <w:sz w:val="48"/>
          <w:szCs w:val="48"/>
        </w:rPr>
      </w:pPr>
    </w:p>
    <w:p>
      <w:pPr>
        <w:spacing w:line="240" w:lineRule="auto"/>
        <w:rPr>
          <w:rFonts w:eastAsia="Times New Roman"/>
          <w:b/>
          <w:bCs/>
          <w:color w:val="000000"/>
          <w:sz w:val="28"/>
          <w:szCs w:val="28"/>
        </w:rPr>
      </w:pPr>
    </w:p>
    <w:p>
      <w:pPr>
        <w:spacing w:line="240" w:lineRule="auto"/>
        <w:rPr>
          <w:rFonts w:eastAsia="Times New Roman"/>
          <w:b/>
          <w:bCs/>
          <w:color w:val="000000"/>
          <w:sz w:val="28"/>
          <w:szCs w:val="28"/>
        </w:rPr>
      </w:pPr>
    </w:p>
    <w:p>
      <w:pPr>
        <w:spacing w:line="240" w:lineRule="auto"/>
        <w:rPr>
          <w:rFonts w:eastAsia="Times New Roman"/>
          <w:b/>
          <w:bCs/>
          <w:color w:val="000000"/>
          <w:sz w:val="28"/>
          <w:szCs w:val="28"/>
        </w:rPr>
      </w:pPr>
    </w:p>
    <w:p>
      <w:pPr>
        <w:spacing w:line="240" w:lineRule="auto"/>
        <w:rPr>
          <w:rFonts w:eastAsia="Times New Roman"/>
          <w:b/>
          <w:bCs/>
          <w:color w:val="000000"/>
          <w:sz w:val="28"/>
          <w:szCs w:val="28"/>
        </w:rPr>
      </w:pPr>
    </w:p>
    <w:p>
      <w:pPr>
        <w:spacing w:line="240" w:lineRule="auto"/>
        <w:rPr>
          <w:rFonts w:eastAsia="Times New Roman"/>
          <w:b/>
          <w:bCs/>
          <w:color w:val="000000"/>
          <w:sz w:val="28"/>
          <w:szCs w:val="28"/>
        </w:rPr>
      </w:pPr>
    </w:p>
    <w:p>
      <w:pPr>
        <w:spacing w:line="240" w:lineRule="auto"/>
        <w:ind w:left="142"/>
        <w:jc w:val="center"/>
        <w:rPr>
          <w:rFonts w:eastAsia="Times New Roman"/>
          <w:b/>
          <w:bCs/>
          <w:color w:val="000000"/>
          <w:sz w:val="28"/>
          <w:szCs w:val="28"/>
          <w:lang w:val="fr-CA"/>
        </w:rPr>
      </w:pPr>
    </w:p>
    <w:p>
      <w:pPr>
        <w:spacing w:line="240" w:lineRule="auto"/>
        <w:ind w:left="142"/>
        <w:jc w:val="center"/>
        <w:rPr>
          <w:rFonts w:eastAsia="Times New Roman"/>
          <w:b/>
          <w:bCs/>
          <w:color w:val="000000"/>
          <w:sz w:val="28"/>
          <w:szCs w:val="28"/>
          <w:lang w:val="fr-CA"/>
        </w:rPr>
      </w:pPr>
    </w:p>
    <w:p>
      <w:pPr>
        <w:spacing w:line="240" w:lineRule="auto"/>
        <w:ind w:left="142"/>
        <w:jc w:val="center"/>
        <w:rPr>
          <w:rFonts w:eastAsia="Times New Roman"/>
          <w:b/>
          <w:bCs/>
          <w:color w:val="000000"/>
          <w:sz w:val="28"/>
          <w:szCs w:val="28"/>
          <w:lang w:val="fr-CA"/>
        </w:rPr>
      </w:pPr>
    </w:p>
    <w:p>
      <w:pPr>
        <w:spacing w:line="240" w:lineRule="auto"/>
        <w:ind w:left="142"/>
        <w:jc w:val="center"/>
        <w:rPr>
          <w:rFonts w:eastAsia="Times New Roman"/>
          <w:b/>
          <w:bCs/>
          <w:color w:val="000000"/>
          <w:sz w:val="28"/>
          <w:szCs w:val="28"/>
          <w:lang w:val="fr-CA"/>
        </w:rPr>
      </w:pPr>
    </w:p>
    <w:p>
      <w:pPr>
        <w:spacing w:line="240" w:lineRule="auto"/>
        <w:ind w:left="142"/>
        <w:jc w:val="center"/>
        <w:rPr>
          <w:rFonts w:eastAsia="Times New Roman"/>
          <w:b/>
          <w:bCs/>
          <w:color w:val="000000"/>
          <w:sz w:val="28"/>
          <w:szCs w:val="28"/>
          <w:lang w:val="fr-CA"/>
        </w:rPr>
      </w:pPr>
    </w:p>
    <w:p>
      <w:pPr>
        <w:spacing w:line="240" w:lineRule="auto"/>
        <w:rPr>
          <w:rFonts w:eastAsia="Times New Roman"/>
          <w:b/>
          <w:bCs/>
          <w:color w:val="000000"/>
          <w:sz w:val="28"/>
          <w:szCs w:val="28"/>
          <w:lang w:val="fr-CA"/>
        </w:rPr>
      </w:pPr>
    </w:p>
    <w:p>
      <w:pPr>
        <w:spacing w:line="240" w:lineRule="auto"/>
        <w:rPr>
          <w:rFonts w:eastAsia="Times New Roman"/>
          <w:b/>
          <w:bCs/>
          <w:color w:val="000000"/>
          <w:sz w:val="28"/>
          <w:szCs w:val="28"/>
          <w:lang w:val="fr-CA"/>
        </w:rPr>
      </w:pPr>
    </w:p>
    <w:p>
      <w:pPr>
        <w:spacing w:line="240" w:lineRule="auto"/>
        <w:rPr>
          <w:rFonts w:eastAsia="Times New Roman"/>
          <w:b/>
          <w:bCs/>
          <w:color w:val="000000"/>
          <w:sz w:val="28"/>
          <w:szCs w:val="28"/>
          <w:lang w:val="fr-CA"/>
        </w:rPr>
      </w:pPr>
    </w:p>
    <w:p>
      <w:pPr>
        <w:spacing w:line="240" w:lineRule="auto"/>
        <w:rPr>
          <w:rFonts w:eastAsia="Times New Roman"/>
          <w:b/>
          <w:bCs/>
          <w:color w:val="000000"/>
          <w:sz w:val="28"/>
          <w:szCs w:val="28"/>
          <w:lang w:val="fr-CA"/>
        </w:rPr>
      </w:pPr>
    </w:p>
    <w:p>
      <w:pPr>
        <w:spacing w:line="240" w:lineRule="auto"/>
        <w:rPr>
          <w:rFonts w:eastAsia="Times New Roman"/>
          <w:b/>
          <w:bCs/>
          <w:color w:val="000000"/>
          <w:sz w:val="28"/>
          <w:szCs w:val="28"/>
          <w:lang w:val="fr-CA"/>
        </w:rPr>
      </w:pPr>
    </w:p>
    <w:p>
      <w:pPr>
        <w:spacing w:line="240" w:lineRule="auto"/>
        <w:rPr>
          <w:rFonts w:eastAsia="Times New Roman"/>
          <w:b/>
          <w:bCs/>
          <w:color w:val="000000"/>
          <w:sz w:val="28"/>
          <w:szCs w:val="28"/>
          <w:lang w:val="fr-CA"/>
        </w:rPr>
      </w:pPr>
    </w:p>
    <w:p>
      <w:pPr>
        <w:spacing w:line="240" w:lineRule="auto"/>
        <w:rPr>
          <w:rFonts w:eastAsia="Times New Roman"/>
          <w:b/>
          <w:color w:val="000000"/>
          <w:sz w:val="28"/>
          <w:szCs w:val="28"/>
          <w:lang w:val="fr-CA"/>
        </w:rPr>
      </w:pPr>
    </w:p>
    <w:p>
      <w:pPr>
        <w:spacing w:line="240" w:lineRule="auto"/>
        <w:rPr>
          <w:rFonts w:eastAsia="Times New Roman"/>
          <w:b/>
          <w:bCs/>
          <w:color w:val="000000"/>
          <w:sz w:val="28"/>
          <w:szCs w:val="28"/>
          <w:lang w:val="fr-FR" w:eastAsia="ro-RO"/>
        </w:rPr>
      </w:pPr>
    </w:p>
    <w:p>
      <w:pPr>
        <w:keepNext/>
        <w:spacing w:line="240" w:lineRule="auto"/>
        <w:jc w:val="center"/>
        <w:rPr>
          <w:rFonts w:ascii="Times New Roman" w:hAnsi="Times New Roman" w:eastAsia="Times New Roman" w:cs="Times New Roman"/>
          <w:b/>
          <w:bCs/>
          <w:sz w:val="28"/>
          <w:szCs w:val="28"/>
          <w:lang w:val="fr-FR" w:eastAsia="ro-RO"/>
        </w:rPr>
      </w:pPr>
    </w:p>
    <w:p>
      <w:pPr>
        <w:keepNext/>
        <w:spacing w:line="240" w:lineRule="auto"/>
        <w:jc w:val="center"/>
        <w:rPr>
          <w:rFonts w:ascii="Times New Roman" w:hAnsi="Times New Roman" w:cs="Times New Roman"/>
          <w:sz w:val="28"/>
          <w:szCs w:val="28"/>
        </w:rPr>
      </w:pPr>
      <w:r>
        <w:rPr>
          <w:rFonts w:ascii="Times New Roman" w:hAnsi="Times New Roman" w:eastAsia="Times New Roman" w:cs="Times New Roman"/>
          <w:b/>
          <w:bCs/>
          <w:sz w:val="28"/>
          <w:szCs w:val="28"/>
          <w:lang w:val="fr-FR" w:eastAsia="ro-RO"/>
        </w:rPr>
        <w:t>Capitolul 1.</w:t>
      </w:r>
      <w:r>
        <w:rPr>
          <w:rFonts w:ascii="Times New Roman" w:hAnsi="Times New Roman" w:eastAsia="Times New Roman" w:cs="Times New Roman"/>
          <w:b/>
          <w:bCs/>
          <w:sz w:val="28"/>
          <w:szCs w:val="28"/>
          <w:lang w:val="fr-FR" w:eastAsia="ro-RO"/>
        </w:rPr>
        <w:tab/>
      </w:r>
      <w:r>
        <w:rPr>
          <w:rFonts w:ascii="Times New Roman" w:hAnsi="Times New Roman" w:eastAsia="Times New Roman" w:cs="Times New Roman"/>
          <w:b/>
          <w:bCs/>
          <w:sz w:val="28"/>
          <w:szCs w:val="28"/>
          <w:lang w:val="fr-FR" w:eastAsia="ro-RO"/>
        </w:rPr>
        <w:t>Obiectul Caietului de sarcini</w:t>
      </w:r>
    </w:p>
    <w:p>
      <w:pPr>
        <w:keepNext/>
        <w:spacing w:line="240" w:lineRule="auto"/>
        <w:rPr>
          <w:rFonts w:ascii="Times New Roman" w:hAnsi="Times New Roman" w:eastAsia="Times New Roman" w:cs="Times New Roman"/>
          <w:b/>
          <w:bCs/>
          <w:sz w:val="28"/>
          <w:szCs w:val="28"/>
          <w:lang w:val="fr-FR" w:eastAsia="ro-RO"/>
        </w:rPr>
      </w:pPr>
    </w:p>
    <w:p>
      <w:pPr>
        <w:spacing w:line="240" w:lineRule="auto"/>
        <w:jc w:val="both"/>
        <w:rPr>
          <w:rFonts w:ascii="Times New Roman" w:hAnsi="Times New Roman" w:cs="Times New Roman"/>
          <w:sz w:val="28"/>
          <w:szCs w:val="28"/>
        </w:rPr>
      </w:pPr>
      <w:r>
        <w:rPr>
          <w:rFonts w:ascii="Times New Roman" w:hAnsi="Times New Roman" w:eastAsia="Times New Roman" w:cs="Times New Roman"/>
          <w:b/>
          <w:bCs/>
          <w:sz w:val="28"/>
          <w:szCs w:val="28"/>
        </w:rPr>
        <w:t>Art.1</w:t>
      </w:r>
      <w:r>
        <w:rPr>
          <w:rFonts w:ascii="Times New Roman" w:hAnsi="Times New Roman" w:eastAsia="Times New Roman" w:cs="Times New Roman"/>
          <w:bCs/>
          <w:sz w:val="28"/>
          <w:szCs w:val="28"/>
        </w:rPr>
        <w:tab/>
      </w:r>
      <w:r>
        <w:rPr>
          <w:rFonts w:ascii="Times New Roman" w:hAnsi="Times New Roman" w:eastAsia="Times New Roman" w:cs="Times New Roman"/>
          <w:color w:val="000000"/>
          <w:sz w:val="28"/>
          <w:szCs w:val="28"/>
        </w:rPr>
        <w:t>Prezentul caiet de sarcini stabileşte condiţiile de desfăşurare a Serviciului de iluminat public din comuna Preutesti , reglementând nivelurile de calitate şi condiţiile tehnice necesare funcționării acestui serviciu în condiţii de eficiență şi siguranță.</w:t>
      </w:r>
    </w:p>
    <w:p>
      <w:pPr>
        <w:spacing w:line="240" w:lineRule="auto"/>
        <w:ind w:right="-180" w:firstLine="708"/>
        <w:jc w:val="both"/>
        <w:rPr>
          <w:rFonts w:ascii="Times New Roman" w:hAnsi="Times New Roman" w:cs="Times New Roman"/>
          <w:sz w:val="28"/>
          <w:szCs w:val="28"/>
        </w:rPr>
      </w:pPr>
      <w:r>
        <w:rPr>
          <w:rFonts w:ascii="Times New Roman" w:hAnsi="Times New Roman" w:eastAsia="Times New Roman" w:cs="Times New Roman"/>
          <w:sz w:val="28"/>
          <w:szCs w:val="28"/>
        </w:rPr>
        <w:t xml:space="preserve">Autoritatea delegata a Serviciului de iluminat public este </w:t>
      </w:r>
      <w:r>
        <w:rPr>
          <w:rFonts w:ascii="Times New Roman" w:hAnsi="Times New Roman" w:eastAsia="Times New Roman" w:cs="Times New Roman"/>
          <w:b/>
          <w:color w:val="000000"/>
          <w:sz w:val="28"/>
          <w:szCs w:val="28"/>
        </w:rPr>
        <w:t>CL al comunei Preutesti.</w:t>
      </w:r>
    </w:p>
    <w:p>
      <w:pPr>
        <w:spacing w:line="240" w:lineRule="auto"/>
        <w:ind w:right="-180" w:firstLine="708"/>
        <w:jc w:val="both"/>
        <w:rPr>
          <w:rFonts w:ascii="Times New Roman" w:hAnsi="Times New Roman" w:cs="Times New Roman"/>
          <w:sz w:val="28"/>
          <w:szCs w:val="28"/>
        </w:rPr>
      </w:pPr>
      <w:r>
        <w:rPr>
          <w:rFonts w:ascii="Times New Roman" w:hAnsi="Times New Roman" w:eastAsia="Times New Roman" w:cs="Times New Roman"/>
          <w:b/>
          <w:bCs/>
          <w:sz w:val="28"/>
          <w:szCs w:val="28"/>
        </w:rPr>
        <w:t>Obiectivul prezentei delegari</w:t>
      </w:r>
      <w:r>
        <w:rPr>
          <w:rFonts w:ascii="Times New Roman" w:hAnsi="Times New Roman" w:eastAsia="Times New Roman" w:cs="Times New Roman"/>
          <w:sz w:val="28"/>
          <w:szCs w:val="28"/>
        </w:rPr>
        <w:t>, este gestionarea unui sistem de iluminat unitar și eficient, care să corespundă cerințelor de trafic, eficiența, etc și care presupune urmatoarele lucrări:</w:t>
      </w:r>
    </w:p>
    <w:p>
      <w:pPr>
        <w:spacing w:line="240" w:lineRule="auto"/>
        <w:ind w:right="-180" w:firstLine="708"/>
        <w:jc w:val="both"/>
        <w:rPr>
          <w:rFonts w:ascii="Times New Roman" w:hAnsi="Times New Roman" w:cs="Times New Roman"/>
          <w:sz w:val="28"/>
          <w:szCs w:val="28"/>
        </w:rPr>
      </w:pPr>
      <w:r>
        <w:rPr>
          <w:rFonts w:ascii="Times New Roman" w:hAnsi="Times New Roman" w:eastAsia="Times New Roman" w:cs="Times New Roman"/>
          <w:sz w:val="28"/>
          <w:szCs w:val="28"/>
        </w:rPr>
        <w:t>a) Întreținerea sistemului de iluminat public existent in comuna Preutesti  și garantarea permanenței în funcționare a iluminatului public.</w:t>
      </w:r>
    </w:p>
    <w:p>
      <w:pPr>
        <w:spacing w:line="240" w:lineRule="auto"/>
        <w:ind w:right="-180" w:firstLine="708"/>
        <w:jc w:val="both"/>
        <w:rPr>
          <w:rFonts w:ascii="Times New Roman" w:hAnsi="Times New Roman" w:cs="Times New Roman"/>
          <w:sz w:val="28"/>
          <w:szCs w:val="28"/>
        </w:rPr>
      </w:pPr>
      <w:r>
        <w:rPr>
          <w:rFonts w:ascii="Times New Roman" w:hAnsi="Times New Roman" w:eastAsia="Times New Roman" w:cs="Times New Roman"/>
          <w:sz w:val="28"/>
          <w:szCs w:val="28"/>
        </w:rPr>
        <w:t>b) Realizarea iluminatului ornamental festiv de sărbători ;</w:t>
      </w:r>
    </w:p>
    <w:p>
      <w:pPr>
        <w:spacing w:line="240" w:lineRule="auto"/>
        <w:ind w:right="-180" w:firstLine="708"/>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c) Optimizarea consumului de energie electrică pentru iluminatul public;</w:t>
      </w:r>
    </w:p>
    <w:p>
      <w:pPr>
        <w:spacing w:line="240" w:lineRule="auto"/>
        <w:ind w:right="-180" w:firstLine="708"/>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d) Realizarea investitiilor stabilite prin Hotarire a Consiliului local si a modernizarilor ca urmare a finantarii din fonduri europene sau nationale accesate;</w:t>
      </w:r>
    </w:p>
    <w:p>
      <w:pPr>
        <w:spacing w:line="240" w:lineRule="auto"/>
        <w:ind w:right="-180" w:firstLine="708"/>
        <w:jc w:val="both"/>
        <w:rPr>
          <w:rFonts w:ascii="Times New Roman" w:hAnsi="Times New Roman" w:cs="Times New Roman"/>
          <w:sz w:val="28"/>
          <w:szCs w:val="28"/>
        </w:rPr>
      </w:pPr>
      <w:r>
        <w:rPr>
          <w:rFonts w:ascii="Times New Roman" w:hAnsi="Times New Roman" w:eastAsia="Times New Roman" w:cs="Times New Roman"/>
          <w:sz w:val="28"/>
          <w:szCs w:val="28"/>
        </w:rPr>
        <w:t>e) Modernizarea Sistemului de iluminat public din fonduri proprii, la solicitarea Autoritatii delegate;</w:t>
      </w:r>
    </w:p>
    <w:p>
      <w:pPr>
        <w:spacing w:line="240" w:lineRule="auto"/>
        <w:ind w:right="-180"/>
        <w:jc w:val="both"/>
        <w:rPr>
          <w:rFonts w:ascii="Times New Roman" w:hAnsi="Times New Roman" w:cs="Times New Roman"/>
          <w:sz w:val="28"/>
          <w:szCs w:val="28"/>
        </w:rPr>
      </w:pPr>
      <w:r>
        <w:rPr>
          <w:rFonts w:ascii="Times New Roman" w:hAnsi="Times New Roman" w:eastAsia="Times New Roman" w:cs="Times New Roman"/>
          <w:sz w:val="28"/>
          <w:szCs w:val="28"/>
        </w:rPr>
        <w:tab/>
      </w:r>
      <w:r>
        <w:rPr>
          <w:rFonts w:ascii="Times New Roman" w:hAnsi="Times New Roman" w:eastAsia="Times New Roman" w:cs="Times New Roman"/>
          <w:sz w:val="28"/>
          <w:szCs w:val="28"/>
        </w:rPr>
        <w:t xml:space="preserve">Durata contractului de delegare a gestiunii Serviciului de iluminat public implicând mentinerea si întretinerea sistemul de iluminat public al </w:t>
      </w:r>
      <w:r>
        <w:rPr>
          <w:rFonts w:ascii="Times New Roman" w:hAnsi="Times New Roman" w:eastAsia="Times New Roman" w:cs="Times New Roman"/>
          <w:color w:val="000000"/>
          <w:sz w:val="28"/>
          <w:szCs w:val="28"/>
        </w:rPr>
        <w:t xml:space="preserve">comunei Preutesti  , </w:t>
      </w:r>
      <w:r>
        <w:rPr>
          <w:rFonts w:ascii="Times New Roman" w:hAnsi="Times New Roman" w:eastAsia="Times New Roman" w:cs="Times New Roman"/>
          <w:sz w:val="28"/>
          <w:szCs w:val="28"/>
        </w:rPr>
        <w:t>modernizarea lui si realizarea investitiilor stabilite, va fi de 5 ani, de la data semnării acestuia.</w:t>
      </w:r>
    </w:p>
    <w:p>
      <w:pPr>
        <w:spacing w:line="240" w:lineRule="auto"/>
        <w:jc w:val="both"/>
        <w:rPr>
          <w:rFonts w:ascii="Times New Roman" w:hAnsi="Times New Roman" w:cs="Times New Roman"/>
          <w:sz w:val="28"/>
          <w:szCs w:val="28"/>
        </w:rPr>
      </w:pPr>
      <w:r>
        <w:rPr>
          <w:rFonts w:ascii="Times New Roman" w:hAnsi="Times New Roman" w:eastAsia="Times New Roman" w:cs="Times New Roman"/>
          <w:b/>
          <w:bCs/>
          <w:sz w:val="28"/>
          <w:szCs w:val="28"/>
        </w:rPr>
        <w:t>Art.2</w:t>
      </w:r>
      <w:r>
        <w:rPr>
          <w:rFonts w:ascii="Times New Roman" w:hAnsi="Times New Roman" w:eastAsia="Times New Roman" w:cs="Times New Roman"/>
          <w:bCs/>
          <w:sz w:val="28"/>
          <w:szCs w:val="28"/>
        </w:rPr>
        <w:tab/>
      </w:r>
      <w:r>
        <w:rPr>
          <w:rFonts w:ascii="Times New Roman" w:hAnsi="Times New Roman" w:eastAsia="Times New Roman" w:cs="Times New Roman"/>
          <w:color w:val="000000"/>
          <w:sz w:val="28"/>
          <w:szCs w:val="28"/>
        </w:rPr>
        <w:t>Prezentul caiet de sarcini a fost elaborat spre a servi drept documentaţie tehnică şi de referință în vederea stabilirii condiţiilor specifice de desfăşurare a Serviciului de iluminat public.</w:t>
      </w:r>
    </w:p>
    <w:p>
      <w:pPr>
        <w:spacing w:line="240" w:lineRule="auto"/>
        <w:jc w:val="both"/>
        <w:rPr>
          <w:rFonts w:ascii="Times New Roman" w:hAnsi="Times New Roman" w:cs="Times New Roman"/>
          <w:sz w:val="28"/>
          <w:szCs w:val="28"/>
        </w:rPr>
      </w:pPr>
      <w:r>
        <w:rPr>
          <w:rFonts w:ascii="Times New Roman" w:hAnsi="Times New Roman" w:eastAsia="Times New Roman" w:cs="Times New Roman"/>
          <w:b/>
          <w:bCs/>
          <w:color w:val="000000"/>
          <w:sz w:val="28"/>
          <w:szCs w:val="28"/>
        </w:rPr>
        <w:t>Art.3</w:t>
      </w: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Caietul de sarcini face parte integrantă din documentaţia necesară desfăşurării activităţilor de realizare a Serviciului de iluminat public şi constituie ansamblul cerinţelor tehnice de bază.</w:t>
      </w:r>
    </w:p>
    <w:p>
      <w:pPr>
        <w:spacing w:line="240" w:lineRule="auto"/>
        <w:jc w:val="both"/>
        <w:rPr>
          <w:rFonts w:ascii="Times New Roman" w:hAnsi="Times New Roman" w:cs="Times New Roman"/>
          <w:sz w:val="28"/>
          <w:szCs w:val="28"/>
        </w:rPr>
      </w:pPr>
      <w:r>
        <w:rPr>
          <w:rFonts w:ascii="Times New Roman" w:hAnsi="Times New Roman" w:eastAsia="Times New Roman" w:cs="Times New Roman"/>
          <w:b/>
          <w:bCs/>
          <w:color w:val="000000"/>
          <w:sz w:val="28"/>
          <w:szCs w:val="28"/>
        </w:rPr>
        <w:t>Art.4</w:t>
      </w: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 xml:space="preserve">(1) Prezentul caiet de sarcini conţine specificaţiile tehnice care definesc caracteristicile referitoare la nivelul calitativ, tehnic şi de performanță, siguranță în exploatare, precum şi sisteme de asigurare a calităţii, terminologie, simboluri, condiţiile pentru certificarea conformității cu standardele specifice sau altele asemenea. </w:t>
      </w:r>
    </w:p>
    <w:p>
      <w:pPr>
        <w:autoSpaceDE w:val="0"/>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 xml:space="preserve">(2) Specificaţiile tehnice se referă şi la prescripţii de proiectare şi de calcul, la verificarea, inspecţia şi condiţiile de recepţie a lucrărilor, tehnici, procedee şi metode de exploatare şi întreţinere, precum şi la alte condiţii cu caracter tehnic, prevăzute de actele normative şi reglementările specifice realizării serviciului de iluminat public. </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lang w:val="fr-CA"/>
        </w:rPr>
        <w:t>(3) Caietul de sarcini precizează reglementările obligatorii referitoare la securitatea in munca, la prevenirea şi stingerea incendiilor şi protecţia mediului, care trebuie respectate pe parcursul îndeplinirii şi realizării serviciului de iluminat public.</w:t>
      </w:r>
    </w:p>
    <w:p>
      <w:pPr>
        <w:spacing w:after="120" w:line="240" w:lineRule="auto"/>
        <w:ind w:right="-180"/>
        <w:jc w:val="both"/>
        <w:rPr>
          <w:rFonts w:ascii="Times New Roman" w:hAnsi="Times New Roman" w:cs="Times New Roman"/>
          <w:sz w:val="28"/>
          <w:szCs w:val="28"/>
        </w:rPr>
      </w:pPr>
      <w:r>
        <w:rPr>
          <w:rFonts w:ascii="Times New Roman" w:hAnsi="Times New Roman" w:eastAsia="Times New Roman" w:cs="Times New Roman"/>
          <w:b/>
          <w:bCs/>
          <w:color w:val="000000"/>
          <w:sz w:val="28"/>
          <w:szCs w:val="28"/>
          <w:lang w:val="fr-CA"/>
        </w:rPr>
        <w:t>Art.5</w:t>
      </w:r>
      <w:r>
        <w:rPr>
          <w:rFonts w:ascii="Times New Roman" w:hAnsi="Times New Roman" w:eastAsia="Times New Roman" w:cs="Times New Roman"/>
          <w:color w:val="000000"/>
          <w:sz w:val="28"/>
          <w:szCs w:val="28"/>
          <w:lang w:val="fr-CA"/>
        </w:rPr>
        <w:tab/>
      </w:r>
      <w:r>
        <w:rPr>
          <w:rFonts w:ascii="Times New Roman" w:hAnsi="Times New Roman" w:eastAsia="Times New Roman" w:cs="Times New Roman"/>
          <w:sz w:val="28"/>
          <w:szCs w:val="28"/>
          <w:lang/>
        </w:rPr>
        <w:t>Terminologia utilizată este cea din Regulamentul  Serviciului de Iluminat Public din comuna Preutesti .</w:t>
      </w:r>
    </w:p>
    <w:p>
      <w:pPr>
        <w:autoSpaceDE w:val="0"/>
        <w:spacing w:line="240" w:lineRule="auto"/>
        <w:jc w:val="center"/>
        <w:rPr>
          <w:rFonts w:ascii="Times New Roman" w:hAnsi="Times New Roman" w:cs="Times New Roman"/>
          <w:sz w:val="28"/>
          <w:szCs w:val="28"/>
        </w:rPr>
      </w:pPr>
      <w:r>
        <w:rPr>
          <w:rFonts w:ascii="Times New Roman" w:hAnsi="Times New Roman" w:eastAsia="Times New Roman" w:cs="Times New Roman"/>
          <w:b/>
          <w:color w:val="000000"/>
          <w:sz w:val="28"/>
          <w:szCs w:val="28"/>
          <w:lang w:val="fr-CA"/>
        </w:rPr>
        <w:t>Capitolul 2.</w:t>
      </w:r>
      <w:r>
        <w:rPr>
          <w:rFonts w:ascii="Times New Roman" w:hAnsi="Times New Roman" w:eastAsia="Times New Roman" w:cs="Times New Roman"/>
          <w:b/>
          <w:color w:val="000000"/>
          <w:sz w:val="28"/>
          <w:szCs w:val="28"/>
          <w:lang w:val="fr-CA"/>
        </w:rPr>
        <w:tab/>
      </w:r>
      <w:r>
        <w:rPr>
          <w:rFonts w:ascii="Times New Roman" w:hAnsi="Times New Roman" w:eastAsia="Times New Roman" w:cs="Times New Roman"/>
          <w:b/>
          <w:color w:val="000000"/>
          <w:sz w:val="28"/>
          <w:szCs w:val="28"/>
          <w:lang w:val="fr-CA"/>
        </w:rPr>
        <w:t>Cerinţe organizatorice</w:t>
      </w:r>
    </w:p>
    <w:p>
      <w:pPr>
        <w:autoSpaceDE w:val="0"/>
        <w:spacing w:line="240" w:lineRule="auto"/>
        <w:jc w:val="center"/>
        <w:rPr>
          <w:rFonts w:ascii="Times New Roman" w:hAnsi="Times New Roman" w:cs="Times New Roman"/>
          <w:sz w:val="28"/>
          <w:szCs w:val="28"/>
        </w:rPr>
      </w:pPr>
    </w:p>
    <w:p>
      <w:pPr>
        <w:spacing w:line="240" w:lineRule="auto"/>
        <w:jc w:val="both"/>
        <w:rPr>
          <w:rFonts w:ascii="Times New Roman" w:hAnsi="Times New Roman" w:eastAsia="Times New Roman" w:cs="Times New Roman"/>
          <w:color w:val="000000"/>
          <w:sz w:val="28"/>
          <w:szCs w:val="28"/>
          <w:lang w:val="fr-CA"/>
        </w:rPr>
      </w:pPr>
      <w:r>
        <w:rPr>
          <w:rFonts w:ascii="Times New Roman" w:hAnsi="Times New Roman" w:eastAsia="Times New Roman" w:cs="Times New Roman"/>
          <w:b/>
          <w:bCs/>
          <w:color w:val="000000"/>
          <w:sz w:val="28"/>
          <w:szCs w:val="28"/>
          <w:lang w:val="fr-CA"/>
        </w:rPr>
        <w:t>Art.6</w:t>
      </w:r>
      <w:r>
        <w:rPr>
          <w:rFonts w:ascii="Times New Roman" w:hAnsi="Times New Roman" w:eastAsia="Times New Roman" w:cs="Times New Roman"/>
          <w:color w:val="000000"/>
          <w:sz w:val="28"/>
          <w:szCs w:val="28"/>
          <w:lang w:val="fr-CA"/>
        </w:rPr>
        <w:tab/>
      </w:r>
      <w:r>
        <w:rPr>
          <w:rFonts w:ascii="Times New Roman" w:hAnsi="Times New Roman" w:eastAsia="Times New Roman" w:cs="Times New Roman"/>
          <w:color w:val="000000"/>
          <w:sz w:val="28"/>
          <w:szCs w:val="28"/>
          <w:lang w:val="fr-CA"/>
        </w:rPr>
        <w:t>Operatorul serviciului de iluminat public va asigura :</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lang w:val="fr-CA"/>
        </w:rPr>
        <w:t>a) respectarea legislaţiei, normelor, prescripţiilor şi regulamentelor privind igiena şi</w:t>
      </w:r>
    </w:p>
    <w:p>
      <w:pPr>
        <w:autoSpaceDE w:val="0"/>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lang w:val="fr-CA"/>
        </w:rPr>
        <w:t xml:space="preserve">securitatea in munca, protecţia mediului, urmărirea comportării în timp a sistemului de iluminat public, prevenirea şi combaterea incendiilor; </w:t>
      </w:r>
    </w:p>
    <w:p>
      <w:pPr>
        <w:autoSpaceDE w:val="0"/>
        <w:spacing w:line="240" w:lineRule="auto"/>
        <w:jc w:val="both"/>
        <w:rPr>
          <w:rFonts w:ascii="Times New Roman" w:hAnsi="Times New Roman" w:cs="Times New Roman"/>
          <w:sz w:val="28"/>
          <w:szCs w:val="28"/>
        </w:rPr>
      </w:pPr>
      <w:r>
        <w:rPr>
          <w:rFonts w:ascii="Times New Roman" w:hAnsi="Times New Roman" w:cs="Times New Roman"/>
          <w:sz w:val="28"/>
          <w:szCs w:val="28"/>
        </w:rPr>
        <w:t>ă</w:t>
      </w:r>
      <w:r>
        <w:rPr>
          <w:rFonts w:ascii="Times New Roman" w:hAnsi="Times New Roman" w:eastAsia="Times New Roman" w:cs="Times New Roman"/>
          <w:color w:val="000000"/>
          <w:sz w:val="28"/>
          <w:szCs w:val="28"/>
          <w:lang w:val="fr-CA"/>
        </w:rPr>
        <w:t xml:space="preserve">) exploatarea, întreţinerea şi reparaţia instalaţiilor cu personal autorizat în condițiile legii, în funcţie de complexitatea instalaţiei şi specificul locului de muncă; </w:t>
      </w:r>
    </w:p>
    <w:p>
      <w:pPr>
        <w:autoSpaceDE w:val="0"/>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lang w:val="fr-CA"/>
        </w:rPr>
        <w:t xml:space="preserve">b) respectarea indicatorilor de performanță şi calitate stabiliţi prin contractul de delegare a gestiunii şi precizati în Regulamentul Serviciului de iluminat public al </w:t>
      </w:r>
      <w:r>
        <w:rPr>
          <w:rFonts w:ascii="Times New Roman" w:hAnsi="Times New Roman" w:eastAsia="Times New Roman" w:cs="Times New Roman"/>
          <w:sz w:val="28"/>
          <w:szCs w:val="28"/>
          <w:lang/>
        </w:rPr>
        <w:t xml:space="preserve">comunei </w:t>
      </w:r>
      <w:r>
        <w:rPr>
          <w:rFonts w:ascii="Times New Roman" w:hAnsi="Times New Roman" w:cs="Times New Roman"/>
          <w:sz w:val="28"/>
          <w:szCs w:val="28"/>
        </w:rPr>
        <w:t xml:space="preserve">Preutesti      </w:t>
      </w:r>
      <w:r>
        <w:rPr>
          <w:rFonts w:ascii="Times New Roman" w:hAnsi="Times New Roman" w:eastAsia="Times New Roman" w:cs="Times New Roman"/>
          <w:sz w:val="28"/>
          <w:szCs w:val="28"/>
          <w:lang/>
        </w:rPr>
        <w:t>.</w:t>
      </w:r>
      <w:r>
        <w:rPr>
          <w:rFonts w:ascii="Times New Roman" w:hAnsi="Times New Roman" w:eastAsia="Times New Roman" w:cs="Times New Roman"/>
          <w:color w:val="000000"/>
          <w:sz w:val="28"/>
          <w:szCs w:val="28"/>
          <w:lang w:val="fr-CA"/>
        </w:rPr>
        <w:t xml:space="preserve"> </w:t>
      </w:r>
    </w:p>
    <w:p>
      <w:pPr>
        <w:autoSpaceDE w:val="0"/>
        <w:spacing w:line="240" w:lineRule="auto"/>
        <w:jc w:val="both"/>
        <w:rPr>
          <w:rFonts w:ascii="Times New Roman" w:hAnsi="Times New Roman" w:eastAsia="Times New Roman" w:cs="Times New Roman"/>
          <w:color w:val="000000"/>
          <w:sz w:val="28"/>
          <w:szCs w:val="28"/>
          <w:lang w:val="fr-CA"/>
        </w:rPr>
      </w:pPr>
      <w:r>
        <w:rPr>
          <w:rFonts w:ascii="Times New Roman" w:hAnsi="Times New Roman" w:eastAsia="Times New Roman" w:cs="Times New Roman"/>
          <w:color w:val="000000"/>
          <w:sz w:val="28"/>
          <w:szCs w:val="28"/>
          <w:lang w:val="fr-CA"/>
        </w:rPr>
        <w:t xml:space="preserve">c) întreţinerea şi menţinerea în stare de permanentă funcţionare a sistemelor de iluminat public; </w:t>
      </w:r>
    </w:p>
    <w:p>
      <w:pPr>
        <w:autoSpaceDE w:val="0"/>
        <w:spacing w:line="240" w:lineRule="auto"/>
        <w:jc w:val="both"/>
        <w:rPr>
          <w:rFonts w:ascii="Times New Roman" w:hAnsi="Times New Roman" w:eastAsia="Times New Roman" w:cs="Times New Roman"/>
          <w:color w:val="000000"/>
          <w:sz w:val="28"/>
          <w:szCs w:val="28"/>
          <w:lang w:val="fr-CA"/>
        </w:rPr>
      </w:pPr>
      <w:r>
        <w:rPr>
          <w:rFonts w:ascii="Times New Roman" w:hAnsi="Times New Roman" w:eastAsia="Times New Roman" w:cs="Times New Roman"/>
          <w:color w:val="000000"/>
          <w:sz w:val="28"/>
          <w:szCs w:val="28"/>
          <w:lang w:val="fr-CA"/>
        </w:rPr>
        <w:t>d) modernizarea Sistemului de iluminat public la solicitarea Autoritatii delegate;</w:t>
      </w:r>
    </w:p>
    <w:p>
      <w:pPr>
        <w:autoSpaceDE w:val="0"/>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lang w:val="fr-CA"/>
        </w:rPr>
        <w:t>e) realizarea investitiilor stabilite prin Hotarire a Consiliului local;</w:t>
      </w:r>
    </w:p>
    <w:p>
      <w:pPr>
        <w:autoSpaceDE w:val="0"/>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lang w:val="fr-CA"/>
        </w:rPr>
        <w:t xml:space="preserve">f) furnizarea către autoritatea administraţiei publice locale, respectiv A.N.R.S.C., a informaţiilor solicitate şi accesul la documentaţiile pe baza cărora prestează serviciul de iluminat public, în condiţiile legii; </w:t>
      </w:r>
    </w:p>
    <w:p>
      <w:pPr>
        <w:autoSpaceDE w:val="0"/>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lang w:val="fr-CA"/>
        </w:rPr>
        <w:t xml:space="preserve">g) creşterea eficienței sistemului de iluminat în scopul reducerii tarifelor, prin reducerea costurilor de producţie, a consumurilor specifice de materiale şi materii, energie electrică şi prin modernizarea acestora; </w:t>
      </w:r>
    </w:p>
    <w:p>
      <w:pPr>
        <w:autoSpaceDE w:val="0"/>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lang w:val="fr-CA"/>
        </w:rPr>
        <w:t xml:space="preserve">h) prestarea serviciului de iluminat public la toţi utilizatorii din raza </w:t>
      </w:r>
      <w:r>
        <w:rPr>
          <w:rFonts w:ascii="Times New Roman" w:hAnsi="Times New Roman" w:eastAsia="Times New Roman" w:cs="Times New Roman"/>
          <w:sz w:val="28"/>
          <w:szCs w:val="28"/>
          <w:lang/>
        </w:rPr>
        <w:t xml:space="preserve">comunei </w:t>
      </w:r>
      <w:r>
        <w:rPr>
          <w:rFonts w:ascii="Times New Roman" w:hAnsi="Times New Roman" w:cs="Times New Roman"/>
          <w:sz w:val="28"/>
          <w:szCs w:val="28"/>
        </w:rPr>
        <w:t xml:space="preserve">Preutesti </w:t>
      </w:r>
      <w:r>
        <w:rPr>
          <w:rFonts w:ascii="Times New Roman" w:hAnsi="Times New Roman" w:cs="Times New Roman"/>
          <w:sz w:val="28"/>
          <w:szCs w:val="28"/>
          <w:lang w:val="en-US"/>
        </w:rPr>
        <w:t>;</w:t>
      </w:r>
      <w:r>
        <w:rPr>
          <w:rFonts w:ascii="Times New Roman" w:hAnsi="Times New Roman" w:cs="Times New Roman"/>
          <w:sz w:val="28"/>
          <w:szCs w:val="28"/>
        </w:rPr>
        <w:t xml:space="preserve">   </w:t>
      </w:r>
    </w:p>
    <w:p>
      <w:pPr>
        <w:autoSpaceDE w:val="0"/>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lang w:val="fr-CA"/>
        </w:rPr>
        <w:t xml:space="preserve">i) personal de intervenţie operativă în sistemul </w:t>
      </w:r>
      <w:r>
        <w:rPr>
          <w:rFonts w:ascii="Times New Roman" w:hAnsi="Times New Roman" w:eastAsia="Times New Roman" w:cs="Times New Roman"/>
          <w:sz w:val="28"/>
          <w:szCs w:val="28"/>
          <w:lang/>
        </w:rPr>
        <w:t xml:space="preserve">de iluminat public; </w:t>
      </w:r>
    </w:p>
    <w:p>
      <w:pPr>
        <w:autoSpaceDE w:val="0"/>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lang w:val="fr-CA"/>
        </w:rPr>
        <w:t xml:space="preserve">j) conducerea operativă prin dispecer și reprezentare față de cetățenii </w:t>
      </w:r>
      <w:r>
        <w:rPr>
          <w:rFonts w:ascii="Times New Roman" w:hAnsi="Times New Roman" w:eastAsia="Times New Roman" w:cs="Times New Roman"/>
          <w:sz w:val="28"/>
          <w:szCs w:val="28"/>
          <w:lang/>
        </w:rPr>
        <w:t xml:space="preserve">comunei </w:t>
      </w:r>
      <w:r>
        <w:rPr>
          <w:rFonts w:ascii="Times New Roman" w:hAnsi="Times New Roman" w:cs="Times New Roman"/>
          <w:sz w:val="28"/>
          <w:szCs w:val="28"/>
        </w:rPr>
        <w:t xml:space="preserve">Preutesti   </w:t>
      </w:r>
      <w:r>
        <w:rPr>
          <w:rFonts w:ascii="Times New Roman" w:hAnsi="Times New Roman" w:eastAsia="Times New Roman" w:cs="Times New Roman"/>
          <w:color w:val="000000"/>
          <w:sz w:val="28"/>
          <w:szCs w:val="28"/>
          <w:lang w:val="fr-CA"/>
        </w:rPr>
        <w:t xml:space="preserve">și autoritățile publice locale; </w:t>
      </w:r>
    </w:p>
    <w:p>
      <w:pPr>
        <w:autoSpaceDE w:val="0"/>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lang w:val="en-US"/>
        </w:rPr>
        <w:t xml:space="preserve">k) înregistrarea datelor de exploatare şi evidența lor; </w:t>
      </w:r>
    </w:p>
    <w:p>
      <w:pPr>
        <w:autoSpaceDE w:val="0"/>
        <w:spacing w:line="240" w:lineRule="auto"/>
        <w:rPr>
          <w:rFonts w:ascii="Times New Roman" w:hAnsi="Times New Roman" w:cs="Times New Roman"/>
          <w:sz w:val="28"/>
          <w:szCs w:val="28"/>
        </w:rPr>
      </w:pPr>
      <w:r>
        <w:rPr>
          <w:rFonts w:ascii="Times New Roman" w:hAnsi="Times New Roman" w:cs="Times New Roman"/>
          <w:sz w:val="28"/>
          <w:szCs w:val="28"/>
        </w:rPr>
        <w:t>l) analiza zilnica a modului în care se respecta realizarea normelor de consum şi stabilirea operativă a măsurilor ce se impun pentru eliminarea abaterilor, încadrarea în norme şi evitarea oricărei forme de risipa;</w:t>
      </w:r>
    </w:p>
    <w:p>
      <w:pPr>
        <w:autoSpaceDE w:val="0"/>
        <w:spacing w:line="240" w:lineRule="auto"/>
        <w:rPr>
          <w:rFonts w:ascii="Times New Roman" w:hAnsi="Times New Roman" w:cs="Times New Roman"/>
          <w:sz w:val="28"/>
          <w:szCs w:val="28"/>
        </w:rPr>
      </w:pPr>
      <w:r>
        <w:rPr>
          <w:rFonts w:ascii="Times New Roman" w:hAnsi="Times New Roman" w:cs="Times New Roman"/>
          <w:sz w:val="28"/>
          <w:szCs w:val="28"/>
        </w:rPr>
        <w:t>m) elaborarea programelor de măsuri pentru încadrarea în normele de consum de energie electrica şi pentru rationalizarea acestor consumuri;</w:t>
      </w:r>
    </w:p>
    <w:p>
      <w:pPr>
        <w:autoSpaceDE w:val="0"/>
        <w:spacing w:line="240" w:lineRule="auto"/>
        <w:rPr>
          <w:rFonts w:ascii="Times New Roman" w:hAnsi="Times New Roman" w:cs="Times New Roman"/>
          <w:sz w:val="28"/>
          <w:szCs w:val="28"/>
        </w:rPr>
      </w:pPr>
      <w:r>
        <w:rPr>
          <w:rFonts w:ascii="Times New Roman" w:hAnsi="Times New Roman" w:cs="Times New Roman"/>
          <w:sz w:val="28"/>
          <w:szCs w:val="28"/>
        </w:rPr>
        <w:t>n) realizarea condiţiilor pentru prelucrarea automată a datelor referitoare la funcţionarea economică a instalaţiilor de iluminat public;</w:t>
      </w:r>
    </w:p>
    <w:p>
      <w:pPr>
        <w:autoSpaceDE w:val="0"/>
        <w:spacing w:line="240" w:lineRule="auto"/>
        <w:rPr>
          <w:rFonts w:ascii="Times New Roman" w:hAnsi="Times New Roman" w:cs="Times New Roman"/>
          <w:sz w:val="28"/>
          <w:szCs w:val="28"/>
        </w:rPr>
      </w:pPr>
      <w:r>
        <w:rPr>
          <w:rFonts w:ascii="Times New Roman" w:hAnsi="Times New Roman" w:cs="Times New Roman"/>
          <w:sz w:val="28"/>
          <w:szCs w:val="28"/>
        </w:rPr>
        <w:t>o) statistica incidentelor, avariilor şi analiza acestora;</w:t>
      </w:r>
    </w:p>
    <w:p>
      <w:pPr>
        <w:autoSpaceDE w:val="0"/>
        <w:spacing w:line="240" w:lineRule="auto"/>
        <w:rPr>
          <w:rFonts w:ascii="Times New Roman" w:hAnsi="Times New Roman" w:cs="Times New Roman"/>
          <w:sz w:val="28"/>
          <w:szCs w:val="28"/>
        </w:rPr>
      </w:pPr>
      <w:r>
        <w:rPr>
          <w:rFonts w:ascii="Times New Roman" w:hAnsi="Times New Roman" w:cs="Times New Roman"/>
          <w:sz w:val="28"/>
          <w:szCs w:val="28"/>
        </w:rPr>
        <w:t>p) instituirea unui sistem de înregistrare, investigare, soluţionare şi raportare privind reclamaţiile făcute de beneficiari în legatura cu calitatea serviciilor;</w:t>
      </w:r>
    </w:p>
    <w:p>
      <w:pPr>
        <w:autoSpaceDE w:val="0"/>
        <w:spacing w:line="240" w:lineRule="auto"/>
        <w:rPr>
          <w:rFonts w:ascii="Times New Roman" w:hAnsi="Times New Roman" w:cs="Times New Roman"/>
          <w:sz w:val="28"/>
          <w:szCs w:val="28"/>
        </w:rPr>
      </w:pPr>
      <w:r>
        <w:rPr>
          <w:rFonts w:ascii="Times New Roman" w:hAnsi="Times New Roman" w:cs="Times New Roman"/>
          <w:sz w:val="28"/>
          <w:szCs w:val="28"/>
        </w:rPr>
        <w:t>q) lichidarea operativă a incidentelor;</w:t>
      </w:r>
    </w:p>
    <w:p>
      <w:pPr>
        <w:autoSpaceDE w:val="0"/>
        <w:spacing w:line="240" w:lineRule="auto"/>
        <w:rPr>
          <w:rFonts w:ascii="Times New Roman" w:hAnsi="Times New Roman" w:cs="Times New Roman"/>
          <w:sz w:val="28"/>
          <w:szCs w:val="28"/>
        </w:rPr>
      </w:pPr>
      <w:r>
        <w:rPr>
          <w:rFonts w:ascii="Times New Roman" w:hAnsi="Times New Roman" w:cs="Times New Roman"/>
          <w:sz w:val="28"/>
          <w:szCs w:val="28"/>
        </w:rPr>
        <w:t>r) funcţionarea normală a tuturor componentelor sistemului de iluminat public;</w:t>
      </w:r>
    </w:p>
    <w:p>
      <w:pPr>
        <w:autoSpaceDE w:val="0"/>
        <w:spacing w:line="240" w:lineRule="auto"/>
        <w:rPr>
          <w:rFonts w:ascii="Times New Roman" w:hAnsi="Times New Roman" w:cs="Times New Roman"/>
          <w:sz w:val="28"/>
          <w:szCs w:val="28"/>
        </w:rPr>
      </w:pPr>
      <w:r>
        <w:rPr>
          <w:rFonts w:ascii="Times New Roman" w:hAnsi="Times New Roman" w:cs="Times New Roman"/>
          <w:sz w:val="28"/>
          <w:szCs w:val="28"/>
        </w:rPr>
        <w:t>s) evidenta orelor de funcţionare a componentelor sistemului de iluminat public;</w:t>
      </w:r>
    </w:p>
    <w:p>
      <w:pPr>
        <w:autoSpaceDE w:val="0"/>
        <w:spacing w:line="240" w:lineRule="auto"/>
        <w:rPr>
          <w:rFonts w:ascii="Times New Roman" w:hAnsi="Times New Roman" w:cs="Times New Roman"/>
          <w:sz w:val="28"/>
          <w:szCs w:val="28"/>
        </w:rPr>
      </w:pPr>
      <w:r>
        <w:rPr>
          <w:rFonts w:ascii="Times New Roman" w:hAnsi="Times New Roman" w:cs="Times New Roman"/>
          <w:sz w:val="28"/>
          <w:szCs w:val="28"/>
        </w:rPr>
        <w:t>t) aplicarea de metode performanţe de management care sa conducă la funcţionarea cat mai buna a instalaţiilor de iluminat şi reducerea costurilor de operare;</w:t>
      </w:r>
    </w:p>
    <w:p>
      <w:pPr>
        <w:autoSpaceDE w:val="0"/>
        <w:spacing w:line="240" w:lineRule="auto"/>
        <w:rPr>
          <w:rFonts w:ascii="Times New Roman" w:hAnsi="Times New Roman" w:cs="Times New Roman"/>
          <w:sz w:val="28"/>
          <w:szCs w:val="28"/>
        </w:rPr>
      </w:pPr>
      <w:r>
        <w:rPr>
          <w:rFonts w:ascii="Times New Roman" w:hAnsi="Times New Roman" w:cs="Times New Roman"/>
          <w:sz w:val="28"/>
          <w:szCs w:val="28"/>
        </w:rPr>
        <w:t>ţ) elaborarea planurilor anuale de revizii şi reparaţii executate cu forte proprii şi cu terţi şi aprobarea acestora de către administraţia publica locală;</w:t>
      </w:r>
    </w:p>
    <w:p>
      <w:pPr>
        <w:autoSpaceDE w:val="0"/>
        <w:spacing w:line="240" w:lineRule="auto"/>
        <w:rPr>
          <w:rFonts w:ascii="Times New Roman" w:hAnsi="Times New Roman" w:cs="Times New Roman"/>
          <w:sz w:val="28"/>
          <w:szCs w:val="28"/>
        </w:rPr>
      </w:pPr>
      <w:r>
        <w:rPr>
          <w:rFonts w:ascii="Times New Roman" w:hAnsi="Times New Roman" w:cs="Times New Roman"/>
          <w:sz w:val="28"/>
          <w:szCs w:val="28"/>
        </w:rPr>
        <w:t>u) executarea în bune condiţii şi la termenele prev</w:t>
      </w:r>
      <w:bookmarkStart w:id="0" w:name="_Hlk54278255"/>
      <w:r>
        <w:rPr>
          <w:rFonts w:ascii="Times New Roman" w:hAnsi="Times New Roman" w:cs="Times New Roman"/>
          <w:sz w:val="28"/>
          <w:szCs w:val="28"/>
        </w:rPr>
        <w:t>ă</w:t>
      </w:r>
      <w:bookmarkEnd w:id="0"/>
      <w:r>
        <w:rPr>
          <w:rFonts w:ascii="Times New Roman" w:hAnsi="Times New Roman" w:cs="Times New Roman"/>
          <w:sz w:val="28"/>
          <w:szCs w:val="28"/>
        </w:rPr>
        <w:t>zute a lucrărilor de repara</w:t>
      </w:r>
      <w:bookmarkStart w:id="1" w:name="_Hlk54278368"/>
      <w:r>
        <w:rPr>
          <w:rFonts w:ascii="Times New Roman" w:hAnsi="Times New Roman" w:cs="Times New Roman"/>
          <w:sz w:val="28"/>
          <w:szCs w:val="28"/>
        </w:rPr>
        <w:t>ţ</w:t>
      </w:r>
      <w:bookmarkEnd w:id="1"/>
      <w:r>
        <w:rPr>
          <w:rFonts w:ascii="Times New Roman" w:hAnsi="Times New Roman" w:cs="Times New Roman"/>
          <w:sz w:val="28"/>
          <w:szCs w:val="28"/>
        </w:rPr>
        <w:t>ii care vizează funcţionarea economică şi siguranta în exploatare;</w:t>
      </w:r>
    </w:p>
    <w:p>
      <w:pPr>
        <w:autoSpaceDE w:val="0"/>
        <w:spacing w:line="240" w:lineRule="auto"/>
        <w:rPr>
          <w:rFonts w:ascii="Times New Roman" w:hAnsi="Times New Roman" w:cs="Times New Roman"/>
          <w:sz w:val="28"/>
          <w:szCs w:val="28"/>
        </w:rPr>
      </w:pPr>
      <w:r>
        <w:rPr>
          <w:rFonts w:ascii="Times New Roman" w:hAnsi="Times New Roman" w:cs="Times New Roman"/>
          <w:sz w:val="28"/>
          <w:szCs w:val="28"/>
        </w:rPr>
        <w:t>y) elaborarea planurilor anuale de investiţii pe categorii de surse de finanţare şi aprobarea acestora de către administraţia publica locală;</w:t>
      </w:r>
    </w:p>
    <w:p>
      <w:pPr>
        <w:autoSpaceDE w:val="0"/>
        <w:spacing w:line="240" w:lineRule="auto"/>
        <w:rPr>
          <w:rFonts w:ascii="Times New Roman" w:hAnsi="Times New Roman" w:cs="Times New Roman"/>
          <w:sz w:val="28"/>
          <w:szCs w:val="28"/>
        </w:rPr>
      </w:pPr>
      <w:r>
        <w:rPr>
          <w:rFonts w:ascii="Times New Roman" w:hAnsi="Times New Roman" w:cs="Times New Roman"/>
          <w:sz w:val="28"/>
          <w:szCs w:val="28"/>
        </w:rPr>
        <w:t>w) corelarea perioadelor şi termenelor de execuţie a investiţiilor şi reparaţiilor cu planurile de investiţii şi reparaţii a celorlalţi furnizori de utilităţi, inclusiv cu programele de reabilitare şi dezvoltare urbanistica ale administraţiei publice locale;</w:t>
      </w:r>
    </w:p>
    <w:p>
      <w:pPr>
        <w:autoSpaceDE w:val="0"/>
        <w:spacing w:line="240" w:lineRule="auto"/>
        <w:rPr>
          <w:rFonts w:ascii="Times New Roman" w:hAnsi="Times New Roman" w:cs="Times New Roman"/>
          <w:sz w:val="28"/>
          <w:szCs w:val="28"/>
        </w:rPr>
      </w:pPr>
      <w:r>
        <w:rPr>
          <w:rFonts w:ascii="Times New Roman" w:hAnsi="Times New Roman" w:cs="Times New Roman"/>
          <w:sz w:val="28"/>
          <w:szCs w:val="28"/>
        </w:rPr>
        <w:t>x) iniţierea şi avizarea lucrărilor de modernizări şi de introducere a tehnicii noi pentru îmbunătăţirea performantelor tehnico-economice ale sistemului de iluminat public;</w:t>
      </w:r>
    </w:p>
    <w:p>
      <w:pPr>
        <w:autoSpaceDE w:val="0"/>
        <w:spacing w:line="240" w:lineRule="auto"/>
        <w:rPr>
          <w:rFonts w:ascii="Times New Roman" w:hAnsi="Times New Roman" w:cs="Times New Roman"/>
          <w:sz w:val="28"/>
          <w:szCs w:val="28"/>
        </w:rPr>
      </w:pPr>
      <w:r>
        <w:rPr>
          <w:rFonts w:ascii="Times New Roman" w:hAnsi="Times New Roman" w:cs="Times New Roman"/>
          <w:sz w:val="28"/>
          <w:szCs w:val="28"/>
        </w:rPr>
        <w:t>y) o dotare proprie cu instalaţii şi echipamente specifice necesare pentru prestarea activităţilor asumate prin contract.</w:t>
      </w:r>
    </w:p>
    <w:p>
      <w:pPr>
        <w:autoSpaceDE w:val="0"/>
        <w:spacing w:line="240" w:lineRule="auto"/>
        <w:jc w:val="both"/>
        <w:rPr>
          <w:rFonts w:ascii="Times New Roman" w:hAnsi="Times New Roman" w:cs="Times New Roman"/>
          <w:sz w:val="28"/>
          <w:szCs w:val="28"/>
        </w:rPr>
      </w:pPr>
      <w:r>
        <w:rPr>
          <w:rFonts w:ascii="Times New Roman" w:hAnsi="Times New Roman" w:eastAsia="Times New Roman" w:cs="Times New Roman"/>
          <w:bCs/>
          <w:sz w:val="28"/>
          <w:szCs w:val="28"/>
        </w:rPr>
        <w:t>z) alte condiţii specifice stabilite de autoritatea administraţiei publice locale sau asociaţia de dezvoltare comunitara, după caz.</w:t>
      </w:r>
    </w:p>
    <w:p>
      <w:pPr>
        <w:spacing w:line="240" w:lineRule="auto"/>
        <w:jc w:val="both"/>
        <w:rPr>
          <w:rFonts w:ascii="Times New Roman" w:hAnsi="Times New Roman" w:cs="Times New Roman"/>
          <w:sz w:val="28"/>
          <w:szCs w:val="28"/>
        </w:rPr>
      </w:pPr>
      <w:r>
        <w:rPr>
          <w:rFonts w:ascii="Times New Roman" w:hAnsi="Times New Roman" w:eastAsia="Times New Roman" w:cs="Times New Roman"/>
          <w:b/>
          <w:bCs/>
          <w:sz w:val="28"/>
          <w:szCs w:val="28"/>
        </w:rPr>
        <w:t>Art.7</w:t>
      </w:r>
      <w:r>
        <w:rPr>
          <w:rFonts w:ascii="Times New Roman" w:hAnsi="Times New Roman" w:eastAsia="Times New Roman" w:cs="Times New Roman"/>
          <w:bCs/>
          <w:sz w:val="28"/>
          <w:szCs w:val="28"/>
        </w:rPr>
        <w:tab/>
      </w:r>
      <w:r>
        <w:rPr>
          <w:rFonts w:ascii="Times New Roman" w:hAnsi="Times New Roman" w:eastAsia="Times New Roman" w:cs="Times New Roman"/>
          <w:sz w:val="28"/>
          <w:szCs w:val="28"/>
          <w:lang/>
        </w:rPr>
        <w:t xml:space="preserve">Obligaţiile şi răspunderile personalului operativ al operatorului sunt cuprinse în regulamentul </w:t>
      </w:r>
      <w:r>
        <w:rPr>
          <w:rFonts w:ascii="Times New Roman" w:hAnsi="Times New Roman" w:eastAsia="Times New Roman" w:cs="Times New Roman"/>
          <w:sz w:val="28"/>
          <w:szCs w:val="28"/>
          <w:lang w:val="en-US"/>
        </w:rPr>
        <w:t>serviciului de iluminat public.</w:t>
      </w:r>
    </w:p>
    <w:p>
      <w:pPr>
        <w:spacing w:line="240" w:lineRule="auto"/>
        <w:jc w:val="both"/>
        <w:rPr>
          <w:rFonts w:ascii="Times New Roman" w:hAnsi="Times New Roman" w:cs="Times New Roman"/>
          <w:sz w:val="28"/>
          <w:szCs w:val="28"/>
        </w:rPr>
      </w:pPr>
      <w:r>
        <w:rPr>
          <w:rFonts w:ascii="Times New Roman" w:hAnsi="Times New Roman" w:eastAsia="Times New Roman" w:cs="Times New Roman"/>
          <w:sz w:val="28"/>
          <w:szCs w:val="28"/>
          <w:lang/>
        </w:rPr>
        <w:t>În completare, precizăm următoarele condiții necesare a fi îndeplinite de operator pentru încheierea contractului de delegare a gestiunii:</w:t>
      </w:r>
    </w:p>
    <w:p>
      <w:pPr>
        <w:spacing w:line="240" w:lineRule="auto"/>
        <w:jc w:val="both"/>
        <w:rPr>
          <w:rFonts w:ascii="Times New Roman" w:hAnsi="Times New Roman" w:cs="Times New Roman"/>
          <w:sz w:val="28"/>
          <w:szCs w:val="28"/>
        </w:rPr>
      </w:pPr>
      <w:r>
        <w:rPr>
          <w:rFonts w:ascii="Times New Roman" w:hAnsi="Times New Roman" w:eastAsia="Times New Roman" w:cs="Times New Roman"/>
          <w:sz w:val="28"/>
          <w:szCs w:val="28"/>
          <w:lang/>
        </w:rPr>
        <w:tab/>
      </w:r>
      <w:r>
        <w:rPr>
          <w:rFonts w:ascii="Times New Roman" w:hAnsi="Times New Roman" w:eastAsia="Times New Roman" w:cs="Times New Roman"/>
          <w:sz w:val="28"/>
          <w:szCs w:val="28"/>
          <w:lang/>
        </w:rPr>
        <w:t>7.1.</w:t>
      </w:r>
      <w:r>
        <w:rPr>
          <w:rFonts w:ascii="Times New Roman" w:hAnsi="Times New Roman" w:eastAsia="Times New Roman" w:cs="Times New Roman"/>
          <w:sz w:val="28"/>
          <w:szCs w:val="28"/>
          <w:lang/>
        </w:rPr>
        <w:tab/>
      </w:r>
      <w:r>
        <w:rPr>
          <w:rFonts w:ascii="Times New Roman" w:hAnsi="Times New Roman" w:eastAsia="Times New Roman" w:cs="Times New Roman"/>
          <w:sz w:val="28"/>
          <w:szCs w:val="28"/>
          <w:lang/>
        </w:rPr>
        <w:t>Dispecerat</w:t>
      </w:r>
    </w:p>
    <w:p>
      <w:pPr>
        <w:spacing w:line="240" w:lineRule="auto"/>
        <w:jc w:val="both"/>
        <w:rPr>
          <w:rFonts w:ascii="Times New Roman" w:hAnsi="Times New Roman" w:cs="Times New Roman"/>
          <w:sz w:val="28"/>
          <w:szCs w:val="28"/>
        </w:rPr>
      </w:pPr>
      <w:r>
        <w:rPr>
          <w:rFonts w:ascii="Times New Roman" w:hAnsi="Times New Roman" w:eastAsia="Times New Roman" w:cs="Times New Roman"/>
          <w:sz w:val="28"/>
          <w:szCs w:val="28"/>
          <w:lang/>
        </w:rPr>
        <w:t xml:space="preserve">Infiintarea unui dispecerat pentru preluarea sesizărilor privind defecțiunile apărute în sistemul de iluminat public. Dispeceratul va acționa pe toată raza comunei </w:t>
      </w:r>
      <w:r>
        <w:rPr>
          <w:rFonts w:ascii="Times New Roman" w:hAnsi="Times New Roman" w:cs="Times New Roman"/>
          <w:sz w:val="28"/>
          <w:szCs w:val="28"/>
        </w:rPr>
        <w:t xml:space="preserve">Preutesti.    </w:t>
      </w:r>
      <w:r>
        <w:rPr>
          <w:rFonts w:ascii="Times New Roman" w:hAnsi="Times New Roman" w:eastAsia="Times New Roman" w:cs="Times New Roman"/>
          <w:sz w:val="28"/>
          <w:szCs w:val="28"/>
          <w:lang/>
        </w:rPr>
        <w:t xml:space="preserve"> Pentru preluarea reclamațiilor și sesizărilor operatorul  va aloca un numar de telefon public (linie telefonică) care va fi făcut cunoscut în mass-media. Preluarea reclamațiilor se va face 24 ore pe zi inclusiv sărbătorile legale.</w:t>
      </w:r>
    </w:p>
    <w:p>
      <w:pPr>
        <w:spacing w:line="240" w:lineRule="auto"/>
        <w:jc w:val="both"/>
        <w:rPr>
          <w:rFonts w:ascii="Times New Roman" w:hAnsi="Times New Roman" w:cs="Times New Roman"/>
          <w:sz w:val="28"/>
          <w:szCs w:val="28"/>
        </w:rPr>
      </w:pPr>
      <w:r>
        <w:rPr>
          <w:rFonts w:ascii="Times New Roman" w:hAnsi="Times New Roman" w:eastAsia="Times New Roman" w:cs="Times New Roman"/>
          <w:sz w:val="28"/>
          <w:szCs w:val="28"/>
          <w:lang/>
        </w:rPr>
        <w:t>Inființarea Serviciului de întreținere, mentenanță și monitorizare a sistemului de iluminat public (iluminat pietonal-stradal, ornamental, ornamental festiv, arhitectural) pe toată perioada contractului. În cadrul acestuia se va înființa o unitate de intervenție care să asigure permanența tehnică în sistemul de iluminat public. Serviciul de întretinere, mentenanță și monitorizare a sistemului de iluminat public va asigura gama de servicii specifice 24 ore /24, inclusiv în zilele de sărbători legale.</w:t>
      </w:r>
    </w:p>
    <w:p>
      <w:pPr>
        <w:spacing w:line="240" w:lineRule="auto"/>
        <w:ind w:firstLine="708"/>
        <w:jc w:val="both"/>
        <w:rPr>
          <w:rFonts w:ascii="Times New Roman" w:hAnsi="Times New Roman" w:cs="Times New Roman"/>
          <w:sz w:val="28"/>
          <w:szCs w:val="28"/>
        </w:rPr>
      </w:pPr>
      <w:r>
        <w:rPr>
          <w:rFonts w:ascii="Times New Roman" w:hAnsi="Times New Roman" w:eastAsia="Times New Roman" w:cs="Times New Roman"/>
          <w:sz w:val="28"/>
          <w:szCs w:val="28"/>
          <w:lang/>
        </w:rPr>
        <w:t>7.2.</w:t>
      </w:r>
      <w:r>
        <w:rPr>
          <w:rFonts w:ascii="Times New Roman" w:hAnsi="Times New Roman" w:eastAsia="Times New Roman" w:cs="Times New Roman"/>
          <w:sz w:val="28"/>
          <w:szCs w:val="28"/>
          <w:lang/>
        </w:rPr>
        <w:tab/>
      </w:r>
      <w:r>
        <w:rPr>
          <w:rFonts w:ascii="Times New Roman" w:hAnsi="Times New Roman" w:eastAsia="Times New Roman" w:cs="Times New Roman"/>
          <w:sz w:val="28"/>
          <w:szCs w:val="28"/>
          <w:lang/>
        </w:rPr>
        <w:t xml:space="preserve">Personal minim </w:t>
      </w:r>
    </w:p>
    <w:p>
      <w:pPr>
        <w:spacing w:line="240" w:lineRule="auto"/>
        <w:jc w:val="both"/>
        <w:rPr>
          <w:rFonts w:ascii="Times New Roman" w:hAnsi="Times New Roman" w:cs="Times New Roman"/>
          <w:sz w:val="28"/>
          <w:szCs w:val="28"/>
        </w:rPr>
      </w:pPr>
      <w:r>
        <w:rPr>
          <w:rFonts w:ascii="Times New Roman" w:hAnsi="Times New Roman" w:eastAsia="Times New Roman" w:cs="Times New Roman"/>
          <w:sz w:val="28"/>
          <w:szCs w:val="28"/>
          <w:lang/>
        </w:rPr>
        <w:t>Operatorul va detine personal de specialitate, dupa cum urmează :</w:t>
      </w:r>
    </w:p>
    <w:p>
      <w:pPr>
        <w:spacing w:line="240" w:lineRule="auto"/>
        <w:jc w:val="both"/>
        <w:rPr>
          <w:rFonts w:ascii="Times New Roman" w:hAnsi="Times New Roman" w:cs="Times New Roman"/>
          <w:sz w:val="28"/>
          <w:szCs w:val="28"/>
          <w:lang w:val="en-US"/>
        </w:rPr>
      </w:pPr>
      <w:r>
        <w:rPr>
          <w:rFonts w:ascii="Times New Roman" w:hAnsi="Times New Roman" w:eastAsia="Times New Roman" w:cs="Times New Roman"/>
          <w:sz w:val="28"/>
          <w:szCs w:val="28"/>
          <w:lang/>
        </w:rPr>
        <w:t xml:space="preserve">- 1 responsabil sau contract cu o firma care asigura protectia si securitatea muncii conform Ordin ANRE nr. </w:t>
      </w:r>
      <w:r>
        <w:rPr>
          <w:rFonts w:ascii="Times New Roman" w:hAnsi="Times New Roman" w:eastAsia="Times New Roman" w:cs="Times New Roman"/>
          <w:sz w:val="28"/>
          <w:szCs w:val="28"/>
          <w:lang w:val="en-US"/>
        </w:rPr>
        <w:t>134</w:t>
      </w:r>
      <w:r>
        <w:rPr>
          <w:rFonts w:ascii="Times New Roman" w:hAnsi="Times New Roman" w:eastAsia="Times New Roman" w:cs="Times New Roman"/>
          <w:sz w:val="28"/>
          <w:szCs w:val="28"/>
          <w:lang/>
        </w:rPr>
        <w:t>/20</w:t>
      </w:r>
      <w:r>
        <w:rPr>
          <w:rFonts w:ascii="Times New Roman" w:hAnsi="Times New Roman" w:eastAsia="Times New Roman" w:cs="Times New Roman"/>
          <w:sz w:val="28"/>
          <w:szCs w:val="28"/>
          <w:lang w:val="en-US"/>
        </w:rPr>
        <w:t>21</w:t>
      </w:r>
    </w:p>
    <w:p>
      <w:pPr>
        <w:spacing w:line="240" w:lineRule="auto"/>
        <w:jc w:val="both"/>
        <w:rPr>
          <w:rFonts w:ascii="Times New Roman" w:hAnsi="Times New Roman" w:cs="Times New Roman"/>
          <w:sz w:val="28"/>
          <w:szCs w:val="28"/>
          <w:lang w:val="en-US"/>
        </w:rPr>
      </w:pPr>
      <w:r>
        <w:rPr>
          <w:rFonts w:ascii="Times New Roman" w:hAnsi="Times New Roman" w:eastAsia="Times New Roman" w:cs="Times New Roman"/>
          <w:sz w:val="28"/>
          <w:szCs w:val="28"/>
          <w:lang/>
        </w:rPr>
        <w:t xml:space="preserve">-1 inginer/subinginer autorizat ANRE gradul II A conform Ordin ANRE nr. 99/2021, Ordin ANRE nr. </w:t>
      </w:r>
      <w:bookmarkStart w:id="2" w:name="_Hlk100035295"/>
      <w:r>
        <w:rPr>
          <w:rFonts w:ascii="Times New Roman" w:hAnsi="Times New Roman" w:eastAsia="Times New Roman" w:cs="Times New Roman"/>
          <w:sz w:val="28"/>
          <w:szCs w:val="28"/>
          <w:lang w:val="en-US"/>
        </w:rPr>
        <w:t>134</w:t>
      </w:r>
      <w:r>
        <w:rPr>
          <w:rFonts w:ascii="Times New Roman" w:hAnsi="Times New Roman" w:eastAsia="Times New Roman" w:cs="Times New Roman"/>
          <w:sz w:val="28"/>
          <w:szCs w:val="28"/>
          <w:lang/>
        </w:rPr>
        <w:t>/20</w:t>
      </w:r>
      <w:r>
        <w:rPr>
          <w:rFonts w:ascii="Times New Roman" w:hAnsi="Times New Roman" w:eastAsia="Times New Roman" w:cs="Times New Roman"/>
          <w:sz w:val="28"/>
          <w:szCs w:val="28"/>
          <w:lang w:val="en-US"/>
        </w:rPr>
        <w:t>21</w:t>
      </w:r>
      <w:bookmarkEnd w:id="2"/>
    </w:p>
    <w:p>
      <w:pPr>
        <w:spacing w:line="240" w:lineRule="auto"/>
        <w:jc w:val="both"/>
        <w:rPr>
          <w:rFonts w:ascii="Times New Roman" w:hAnsi="Times New Roman" w:cs="Times New Roman"/>
          <w:sz w:val="28"/>
          <w:szCs w:val="28"/>
        </w:rPr>
      </w:pPr>
      <w:r>
        <w:rPr>
          <w:rFonts w:ascii="Times New Roman" w:hAnsi="Times New Roman" w:eastAsia="Times New Roman" w:cs="Times New Roman"/>
          <w:sz w:val="28"/>
          <w:szCs w:val="28"/>
          <w:lang/>
        </w:rPr>
        <w:t>-1 inginer/subinginer autorizat ANRE gradul I</w:t>
      </w:r>
      <w:r>
        <w:rPr>
          <w:rFonts w:ascii="Times New Roman" w:hAnsi="Times New Roman" w:eastAsia="Times New Roman" w:cs="Times New Roman"/>
          <w:sz w:val="28"/>
          <w:szCs w:val="28"/>
          <w:lang w:val="en-US"/>
        </w:rPr>
        <w:t>I</w:t>
      </w:r>
      <w:r>
        <w:rPr>
          <w:rFonts w:ascii="Times New Roman" w:hAnsi="Times New Roman" w:eastAsia="Times New Roman" w:cs="Times New Roman"/>
          <w:sz w:val="28"/>
          <w:szCs w:val="28"/>
          <w:lang/>
        </w:rPr>
        <w:t xml:space="preserve"> B conform Ordin ANRE nr. 99/2021, Ordin ANRE nr. </w:t>
      </w:r>
      <w:r>
        <w:rPr>
          <w:rFonts w:ascii="Times New Roman" w:hAnsi="Times New Roman" w:eastAsia="Times New Roman" w:cs="Times New Roman"/>
          <w:sz w:val="28"/>
          <w:szCs w:val="28"/>
          <w:lang w:val="en-US"/>
        </w:rPr>
        <w:t>134</w:t>
      </w:r>
      <w:r>
        <w:rPr>
          <w:rFonts w:ascii="Times New Roman" w:hAnsi="Times New Roman" w:eastAsia="Times New Roman" w:cs="Times New Roman"/>
          <w:sz w:val="28"/>
          <w:szCs w:val="28"/>
          <w:lang/>
        </w:rPr>
        <w:t>/20</w:t>
      </w:r>
      <w:r>
        <w:rPr>
          <w:rFonts w:ascii="Times New Roman" w:hAnsi="Times New Roman" w:eastAsia="Times New Roman" w:cs="Times New Roman"/>
          <w:sz w:val="28"/>
          <w:szCs w:val="28"/>
          <w:lang w:val="en-US"/>
        </w:rPr>
        <w:t>21</w:t>
      </w:r>
    </w:p>
    <w:p>
      <w:pPr>
        <w:spacing w:line="240" w:lineRule="auto"/>
        <w:jc w:val="both"/>
        <w:rPr>
          <w:rFonts w:ascii="Times New Roman" w:hAnsi="Times New Roman" w:cs="Times New Roman"/>
          <w:sz w:val="28"/>
          <w:szCs w:val="28"/>
        </w:rPr>
      </w:pPr>
      <w:r>
        <w:rPr>
          <w:rFonts w:ascii="Times New Roman" w:hAnsi="Times New Roman" w:eastAsia="Times New Roman" w:cs="Times New Roman"/>
          <w:sz w:val="28"/>
          <w:szCs w:val="28"/>
          <w:lang/>
        </w:rPr>
        <w:t xml:space="preserve">- </w:t>
      </w:r>
      <w:r>
        <w:rPr>
          <w:rFonts w:ascii="Times New Roman" w:hAnsi="Times New Roman" w:eastAsia="Times New Roman" w:cs="Times New Roman"/>
          <w:sz w:val="28"/>
          <w:szCs w:val="28"/>
          <w:lang w:val="en-US"/>
        </w:rPr>
        <w:t>2</w:t>
      </w:r>
      <w:r>
        <w:rPr>
          <w:rFonts w:ascii="Times New Roman" w:hAnsi="Times New Roman" w:eastAsia="Times New Roman" w:cs="Times New Roman"/>
          <w:sz w:val="28"/>
          <w:szCs w:val="28"/>
          <w:lang/>
        </w:rPr>
        <w:t xml:space="preserve"> electricieni </w:t>
      </w:r>
    </w:p>
    <w:p>
      <w:pPr>
        <w:spacing w:line="240" w:lineRule="auto"/>
        <w:jc w:val="both"/>
        <w:rPr>
          <w:rFonts w:ascii="Times New Roman" w:hAnsi="Times New Roman" w:eastAsia="Times New Roman" w:cs="Times New Roman"/>
          <w:sz w:val="28"/>
          <w:szCs w:val="28"/>
          <w:lang/>
        </w:rPr>
      </w:pPr>
      <w:r>
        <w:rPr>
          <w:rFonts w:ascii="Times New Roman" w:hAnsi="Times New Roman" w:eastAsia="Times New Roman" w:cs="Times New Roman"/>
          <w:sz w:val="28"/>
          <w:szCs w:val="28"/>
          <w:lang/>
        </w:rPr>
        <w:t xml:space="preserve">Conform Ordin ANRE nr. </w:t>
      </w:r>
      <w:r>
        <w:rPr>
          <w:rFonts w:ascii="Times New Roman" w:hAnsi="Times New Roman" w:eastAsia="Times New Roman" w:cs="Times New Roman"/>
          <w:sz w:val="28"/>
          <w:szCs w:val="28"/>
          <w:lang w:val="en-US"/>
        </w:rPr>
        <w:t>134</w:t>
      </w:r>
      <w:r>
        <w:rPr>
          <w:rFonts w:ascii="Times New Roman" w:hAnsi="Times New Roman" w:eastAsia="Times New Roman" w:cs="Times New Roman"/>
          <w:sz w:val="28"/>
          <w:szCs w:val="28"/>
          <w:lang/>
        </w:rPr>
        <w:t>/20</w:t>
      </w:r>
      <w:r>
        <w:rPr>
          <w:rFonts w:ascii="Times New Roman" w:hAnsi="Times New Roman" w:eastAsia="Times New Roman" w:cs="Times New Roman"/>
          <w:sz w:val="28"/>
          <w:szCs w:val="28"/>
          <w:lang w:val="en-US"/>
        </w:rPr>
        <w:t xml:space="preserve">21 </w:t>
      </w:r>
      <w:r>
        <w:rPr>
          <w:rFonts w:ascii="Times New Roman" w:hAnsi="Times New Roman" w:eastAsia="Times New Roman" w:cs="Times New Roman"/>
          <w:sz w:val="28"/>
          <w:szCs w:val="28"/>
          <w:lang/>
        </w:rPr>
        <w:t>Ordin ANRE nr. 99/2021, este obligatorie atestarea și autorizarea persoanelor responsabile de îndeplinirea contractului. Pentru personalul nominalizat cu îndeplinirea contractului, se vor prezenta după caz urmatoarele documente: documente din care să rezulte că persoanele nominalizate sunt angajate ale ofertantului. Se va prezenta de către fiecare ofertant în parte lista personalului utilizat pentru lucrările de modernizare, realizare a iluminatului ornamental festiv si intretinerea-mentinerea sistemului de iluminat public.</w:t>
      </w:r>
    </w:p>
    <w:p>
      <w:pPr>
        <w:spacing w:line="240" w:lineRule="auto"/>
        <w:jc w:val="both"/>
        <w:rPr>
          <w:rFonts w:ascii="Times New Roman" w:hAnsi="Times New Roman" w:cs="Times New Roman"/>
          <w:sz w:val="28"/>
          <w:szCs w:val="28"/>
          <w:lang w:val="en-US"/>
        </w:rPr>
      </w:pPr>
      <w:r>
        <w:rPr>
          <w:rFonts w:ascii="Times New Roman" w:hAnsi="Times New Roman" w:eastAsia="Times New Roman" w:cs="Times New Roman"/>
          <w:sz w:val="28"/>
          <w:szCs w:val="28"/>
          <w:lang w:val="en-US"/>
        </w:rPr>
        <w:t>Decizia administratorului pentru nominalizarea dispecerului, cu mentionarea numarului de telefon.</w:t>
      </w:r>
    </w:p>
    <w:p>
      <w:pPr>
        <w:spacing w:line="240" w:lineRule="auto"/>
        <w:ind w:firstLine="708"/>
        <w:jc w:val="both"/>
        <w:rPr>
          <w:rFonts w:ascii="Times New Roman" w:hAnsi="Times New Roman" w:cs="Times New Roman"/>
          <w:sz w:val="28"/>
          <w:szCs w:val="28"/>
        </w:rPr>
      </w:pPr>
      <w:r>
        <w:rPr>
          <w:rFonts w:ascii="Times New Roman" w:hAnsi="Times New Roman" w:eastAsia="Times New Roman" w:cs="Times New Roman"/>
          <w:sz w:val="28"/>
          <w:szCs w:val="28"/>
          <w:lang/>
        </w:rPr>
        <w:t>7.3.</w:t>
      </w:r>
      <w:r>
        <w:rPr>
          <w:rFonts w:ascii="Times New Roman" w:hAnsi="Times New Roman" w:eastAsia="Times New Roman" w:cs="Times New Roman"/>
          <w:sz w:val="28"/>
          <w:szCs w:val="28"/>
          <w:lang/>
        </w:rPr>
        <w:tab/>
      </w:r>
      <w:r>
        <w:rPr>
          <w:rFonts w:ascii="Times New Roman" w:hAnsi="Times New Roman" w:eastAsia="Times New Roman" w:cs="Times New Roman"/>
          <w:sz w:val="28"/>
          <w:szCs w:val="28"/>
          <w:lang/>
        </w:rPr>
        <w:t>Utilaje</w:t>
      </w:r>
    </w:p>
    <w:p>
      <w:pPr>
        <w:spacing w:line="240" w:lineRule="auto"/>
        <w:jc w:val="both"/>
        <w:rPr>
          <w:rFonts w:ascii="Times New Roman" w:hAnsi="Times New Roman" w:eastAsia="Times New Roman" w:cs="Times New Roman"/>
          <w:sz w:val="28"/>
          <w:szCs w:val="28"/>
          <w:lang/>
        </w:rPr>
      </w:pPr>
      <w:r>
        <w:rPr>
          <w:rFonts w:ascii="Times New Roman" w:hAnsi="Times New Roman" w:eastAsia="Times New Roman" w:cs="Times New Roman"/>
          <w:sz w:val="28"/>
          <w:szCs w:val="28"/>
          <w:lang/>
        </w:rPr>
        <w:t xml:space="preserve">Operatorul va face dovada (prin intermediul documentelor) a unei dotări minime (ce poate fi prezentata sub diverse forme: în proprietate/inchiriere/alte forme de detinere/ angajament de  punere la dispozitie) astfel cum aceasta este solicitată pentru clasa 3 de atribuire a licentelor pentru prestatorii de servicii de iluminat utilități publice, prin </w:t>
      </w:r>
      <w:r>
        <w:rPr>
          <w:rFonts w:ascii="Times New Roman" w:hAnsi="Times New Roman" w:eastAsia="Times New Roman" w:cs="Times New Roman"/>
          <w:sz w:val="28"/>
          <w:szCs w:val="28"/>
          <w:lang w:val="en-US"/>
        </w:rPr>
        <w:t>Ordinul nr.100 din 2023 al ANRSC</w:t>
      </w:r>
      <w:r>
        <w:rPr>
          <w:rFonts w:ascii="Times New Roman" w:hAnsi="Times New Roman" w:eastAsia="Times New Roman" w:cs="Times New Roman"/>
          <w:sz w:val="28"/>
          <w:szCs w:val="28"/>
          <w:lang/>
        </w:rPr>
        <w:t xml:space="preserve">, pentru aprobarea Regulamentului privind acordarea licențelor în domeniul serviciilor comunitare de utilități publice , așa cum sunt acestea specificate și în caietul de sarcini, respectiv: autospeciala cu brat ridicător telescopic cu operare la înălțime 16m - min 1 buc; </w:t>
      </w:r>
      <w:r>
        <w:rPr>
          <w:rFonts w:ascii="Times New Roman" w:hAnsi="Times New Roman" w:eastAsia="Times New Roman" w:cs="Times New Roman"/>
          <w:sz w:val="28"/>
          <w:szCs w:val="28"/>
          <w:lang w:val="en-US"/>
        </w:rPr>
        <w:t xml:space="preserve">- </w:t>
      </w:r>
      <w:r>
        <w:rPr>
          <w:rFonts w:ascii="Times New Roman" w:hAnsi="Times New Roman" w:eastAsia="Times New Roman" w:cs="Times New Roman"/>
          <w:sz w:val="28"/>
          <w:szCs w:val="28"/>
          <w:lang/>
        </w:rPr>
        <w:t>1 ciocan hidraulic (picon); - 1 compactor mecanic; - aparate pentru măsurat parametrii de rețea și luminotehnici:  Luxmetru digital;  Multimetru digital portabil - cu capabilitate pentru minim următoarele măsuratori: tensiune, intensitate; Aparat măsurare rezistența izolație (tensiuni nominale încercare 100-5000 V.c.c );  Aparat măsurare valoare rezistența de dispersie pentru prize de pământ</w:t>
      </w:r>
      <w:r>
        <w:rPr>
          <w:rFonts w:ascii="Times New Roman" w:hAnsi="Times New Roman" w:eastAsia="Times New Roman" w:cs="Times New Roman"/>
          <w:sz w:val="28"/>
          <w:szCs w:val="28"/>
          <w:lang w:val="en-US"/>
        </w:rPr>
        <w:t>;</w:t>
      </w:r>
      <w:r>
        <w:rPr>
          <w:rFonts w:ascii="Times New Roman" w:hAnsi="Times New Roman" w:eastAsia="Times New Roman" w:cs="Times New Roman"/>
          <w:sz w:val="28"/>
          <w:szCs w:val="28"/>
          <w:lang/>
        </w:rPr>
        <w:t xml:space="preserve"> </w:t>
      </w:r>
    </w:p>
    <w:p>
      <w:pPr>
        <w:spacing w:line="240" w:lineRule="auto"/>
        <w:jc w:val="both"/>
        <w:rPr>
          <w:rFonts w:ascii="Times New Roman" w:hAnsi="Times New Roman" w:eastAsia="Times New Roman" w:cs="Times New Roman"/>
          <w:sz w:val="28"/>
          <w:szCs w:val="28"/>
          <w:lang/>
        </w:rPr>
      </w:pPr>
      <w:r>
        <w:rPr>
          <w:rFonts w:ascii="Times New Roman" w:hAnsi="Times New Roman" w:eastAsia="Times New Roman" w:cs="Times New Roman"/>
          <w:sz w:val="28"/>
          <w:szCs w:val="28"/>
          <w:lang/>
        </w:rPr>
        <w:t>Pentru toate aparatele de măsurat parametrii de rețea și luminotehnici</w:t>
      </w:r>
      <w:r>
        <w:rPr>
          <w:rFonts w:ascii="Times New Roman" w:hAnsi="Times New Roman" w:eastAsia="Times New Roman" w:cs="Times New Roman"/>
          <w:sz w:val="28"/>
          <w:szCs w:val="28"/>
          <w:lang w:val="en-US"/>
        </w:rPr>
        <w:t>,</w:t>
      </w:r>
      <w:r>
        <w:rPr>
          <w:rFonts w:ascii="Times New Roman" w:hAnsi="Times New Roman" w:eastAsia="Times New Roman" w:cs="Times New Roman"/>
          <w:sz w:val="28"/>
          <w:szCs w:val="28"/>
          <w:lang/>
        </w:rPr>
        <w:t xml:space="preserve"> se vor prezenta</w:t>
      </w:r>
      <w:r>
        <w:rPr>
          <w:rFonts w:ascii="Times New Roman" w:hAnsi="Times New Roman" w:eastAsia="Times New Roman" w:cs="Times New Roman"/>
          <w:sz w:val="28"/>
          <w:szCs w:val="28"/>
          <w:lang w:val="en-US"/>
        </w:rPr>
        <w:t>:</w:t>
      </w:r>
    </w:p>
    <w:p>
      <w:pPr>
        <w:spacing w:line="240" w:lineRule="auto"/>
        <w:jc w:val="both"/>
        <w:rPr>
          <w:rFonts w:ascii="Times New Roman" w:hAnsi="Times New Roman" w:eastAsia="Times New Roman" w:cs="Times New Roman"/>
          <w:sz w:val="28"/>
          <w:szCs w:val="28"/>
          <w:lang/>
        </w:rPr>
      </w:pPr>
      <w:r>
        <w:rPr>
          <w:rFonts w:ascii="Times New Roman" w:hAnsi="Times New Roman" w:eastAsia="Times New Roman" w:cs="Times New Roman"/>
          <w:sz w:val="28"/>
          <w:szCs w:val="28"/>
          <w:lang w:val="en-US"/>
        </w:rPr>
        <w:t xml:space="preserve">- </w:t>
      </w:r>
      <w:r>
        <w:rPr>
          <w:rFonts w:ascii="Times New Roman" w:hAnsi="Times New Roman" w:eastAsia="Times New Roman" w:cs="Times New Roman"/>
          <w:sz w:val="28"/>
          <w:szCs w:val="28"/>
          <w:lang/>
        </w:rPr>
        <w:t xml:space="preserve">documente care atestă deținerea în proprietate/ închiriere/ alte forme de deținere/ angajament de punere la dispoziție; </w:t>
      </w:r>
    </w:p>
    <w:p>
      <w:pPr>
        <w:spacing w:line="240" w:lineRule="auto"/>
        <w:jc w:val="both"/>
        <w:rPr>
          <w:rFonts w:ascii="Times New Roman" w:hAnsi="Times New Roman" w:eastAsia="Times New Roman" w:cs="Times New Roman"/>
          <w:sz w:val="28"/>
          <w:szCs w:val="28"/>
          <w:lang/>
        </w:rPr>
      </w:pPr>
      <w:r>
        <w:rPr>
          <w:rFonts w:ascii="Times New Roman" w:hAnsi="Times New Roman" w:eastAsia="Times New Roman" w:cs="Times New Roman"/>
          <w:sz w:val="28"/>
          <w:szCs w:val="28"/>
          <w:lang w:val="en-US"/>
        </w:rPr>
        <w:t xml:space="preserve">- </w:t>
      </w:r>
      <w:r>
        <w:rPr>
          <w:rFonts w:ascii="Times New Roman" w:hAnsi="Times New Roman" w:eastAsia="Times New Roman" w:cs="Times New Roman"/>
          <w:sz w:val="28"/>
          <w:szCs w:val="28"/>
          <w:lang/>
        </w:rPr>
        <w:t>documente care atesta deținerea (dotare proprie/ închiriere sau alte forme de punere la dispoziție) a echipamentelor tehnice, utilaje instalațiile și echipamentele tehnice declarate.</w:t>
      </w:r>
    </w:p>
    <w:p>
      <w:pPr>
        <w:spacing w:line="240" w:lineRule="auto"/>
        <w:jc w:val="both"/>
        <w:rPr>
          <w:rFonts w:ascii="Times New Roman" w:hAnsi="Times New Roman" w:eastAsia="Times New Roman" w:cs="Times New Roman"/>
          <w:sz w:val="28"/>
          <w:szCs w:val="28"/>
          <w:lang/>
        </w:rPr>
      </w:pPr>
      <w:r>
        <w:rPr>
          <w:rFonts w:ascii="Times New Roman" w:hAnsi="Times New Roman" w:eastAsia="Times New Roman" w:cs="Times New Roman"/>
          <w:sz w:val="28"/>
          <w:szCs w:val="28"/>
          <w:lang/>
        </w:rPr>
        <w:t>- documente care sa demonstreze verificarea metrologica in termen;</w:t>
      </w:r>
    </w:p>
    <w:p>
      <w:pPr>
        <w:spacing w:line="240" w:lineRule="auto"/>
        <w:jc w:val="both"/>
        <w:rPr>
          <w:rFonts w:ascii="Times New Roman" w:hAnsi="Times New Roman" w:eastAsia="Times New Roman" w:cs="Times New Roman"/>
          <w:sz w:val="28"/>
          <w:szCs w:val="28"/>
          <w:lang/>
        </w:rPr>
      </w:pPr>
      <w:r>
        <w:rPr>
          <w:rFonts w:ascii="Times New Roman" w:hAnsi="Times New Roman" w:eastAsia="Times New Roman" w:cs="Times New Roman"/>
          <w:sz w:val="28"/>
          <w:szCs w:val="28"/>
          <w:lang w:val="en-US"/>
        </w:rPr>
        <w:t>Avind in vedere ca UAT Preutesti se compune din 6 sate, distribuite pe o arie extinsa, pentru operativitate in desfasurarea activitatilor ce decurg din contractual de delegare de gestiune, prioritate vor avea operatorii economici care au dotarea in proprietate.</w:t>
      </w:r>
    </w:p>
    <w:p>
      <w:pPr>
        <w:spacing w:line="240" w:lineRule="auto"/>
        <w:ind w:firstLine="708"/>
        <w:jc w:val="both"/>
        <w:rPr>
          <w:rFonts w:ascii="Times New Roman" w:hAnsi="Times New Roman" w:cs="Times New Roman"/>
          <w:sz w:val="28"/>
          <w:szCs w:val="28"/>
        </w:rPr>
      </w:pPr>
      <w:r>
        <w:rPr>
          <w:rFonts w:ascii="Times New Roman" w:hAnsi="Times New Roman" w:eastAsia="Times New Roman" w:cs="Times New Roman"/>
          <w:sz w:val="28"/>
          <w:szCs w:val="28"/>
          <w:lang/>
        </w:rPr>
        <w:t>7.4.</w:t>
      </w:r>
      <w:r>
        <w:rPr>
          <w:rFonts w:ascii="Times New Roman" w:hAnsi="Times New Roman" w:eastAsia="Times New Roman" w:cs="Times New Roman"/>
          <w:sz w:val="28"/>
          <w:szCs w:val="28"/>
          <w:lang/>
        </w:rPr>
        <w:tab/>
      </w:r>
      <w:r>
        <w:rPr>
          <w:rFonts w:ascii="Times New Roman" w:hAnsi="Times New Roman" w:eastAsia="Times New Roman" w:cs="Times New Roman"/>
          <w:sz w:val="28"/>
          <w:szCs w:val="28"/>
          <w:lang/>
        </w:rPr>
        <w:t>Punct de lucru</w:t>
      </w:r>
    </w:p>
    <w:p>
      <w:pPr>
        <w:spacing w:line="240" w:lineRule="auto"/>
        <w:ind w:firstLine="708"/>
        <w:jc w:val="both"/>
        <w:rPr>
          <w:rFonts w:ascii="Times New Roman" w:hAnsi="Times New Roman" w:cs="Times New Roman"/>
          <w:sz w:val="28"/>
          <w:szCs w:val="28"/>
        </w:rPr>
      </w:pPr>
      <w:r>
        <w:rPr>
          <w:rFonts w:ascii="Times New Roman" w:hAnsi="Times New Roman" w:eastAsia="Times New Roman" w:cs="Times New Roman"/>
          <w:sz w:val="28"/>
          <w:szCs w:val="28"/>
          <w:lang/>
        </w:rPr>
        <w:tab/>
      </w:r>
      <w:r>
        <w:rPr>
          <w:rFonts w:ascii="Times New Roman" w:hAnsi="Times New Roman" w:eastAsia="Times New Roman" w:cs="Times New Roman"/>
          <w:color w:val="000000"/>
          <w:sz w:val="28"/>
          <w:szCs w:val="28"/>
          <w:lang w:val="fr-CA"/>
        </w:rPr>
        <w:t xml:space="preserve">Deschiderea, în maxim 30 de zile de la semnarea contractului, unui punct de lucru </w:t>
      </w:r>
      <w:r>
        <w:rPr>
          <w:rFonts w:ascii="Times New Roman" w:hAnsi="Times New Roman" w:eastAsia="Times New Roman" w:cs="Times New Roman"/>
          <w:color w:val="000000"/>
          <w:sz w:val="28"/>
          <w:szCs w:val="28"/>
        </w:rPr>
        <w:t>î</w:t>
      </w:r>
      <w:r>
        <w:rPr>
          <w:rFonts w:ascii="Times New Roman" w:hAnsi="Times New Roman" w:eastAsia="Times New Roman" w:cs="Times New Roman"/>
          <w:color w:val="000000"/>
          <w:sz w:val="28"/>
          <w:szCs w:val="28"/>
          <w:lang w:val="fr-CA"/>
        </w:rPr>
        <w:t xml:space="preserve">n comuna </w:t>
      </w:r>
      <w:r>
        <w:rPr>
          <w:rFonts w:ascii="Times New Roman" w:hAnsi="Times New Roman" w:cs="Times New Roman"/>
          <w:sz w:val="28"/>
          <w:szCs w:val="28"/>
        </w:rPr>
        <w:t xml:space="preserve">Preutesti </w:t>
      </w:r>
      <w:r>
        <w:rPr>
          <w:rFonts w:ascii="Times New Roman" w:hAnsi="Times New Roman" w:eastAsia="Times New Roman" w:cs="Times New Roman"/>
          <w:color w:val="000000"/>
          <w:sz w:val="28"/>
          <w:szCs w:val="28"/>
          <w:lang w:val="fr-CA"/>
        </w:rPr>
        <w:t>, în cadrul căruia să fie organizat și un depozit de materiale în care se va constitui un stoc format din minim 3 bucăți din fiecare element de rețea.</w:t>
      </w:r>
    </w:p>
    <w:p>
      <w:pPr>
        <w:spacing w:line="240" w:lineRule="auto"/>
        <w:ind w:firstLine="708"/>
        <w:jc w:val="both"/>
        <w:rPr>
          <w:rFonts w:ascii="Times New Roman" w:hAnsi="Times New Roman" w:cs="Times New Roman"/>
          <w:sz w:val="28"/>
          <w:szCs w:val="28"/>
        </w:rPr>
      </w:pPr>
      <w:r>
        <w:rPr>
          <w:rFonts w:ascii="Times New Roman" w:hAnsi="Times New Roman" w:eastAsia="Times New Roman" w:cs="Times New Roman"/>
          <w:sz w:val="28"/>
          <w:szCs w:val="28"/>
          <w:lang/>
        </w:rPr>
        <w:t>7.5.</w:t>
      </w:r>
      <w:r>
        <w:rPr>
          <w:rFonts w:ascii="Times New Roman" w:hAnsi="Times New Roman" w:eastAsia="Times New Roman" w:cs="Times New Roman"/>
          <w:sz w:val="28"/>
          <w:szCs w:val="28"/>
          <w:lang/>
        </w:rPr>
        <w:tab/>
      </w:r>
      <w:r>
        <w:rPr>
          <w:rFonts w:ascii="Times New Roman" w:hAnsi="Times New Roman" w:eastAsia="Times New Roman" w:cs="Times New Roman"/>
          <w:sz w:val="28"/>
          <w:szCs w:val="28"/>
          <w:lang/>
        </w:rPr>
        <w:t>Autorizații și atestate</w:t>
      </w:r>
    </w:p>
    <w:p>
      <w:pPr>
        <w:spacing w:line="240" w:lineRule="auto"/>
        <w:ind w:firstLine="708"/>
        <w:jc w:val="both"/>
        <w:rPr>
          <w:rFonts w:ascii="Times New Roman" w:hAnsi="Times New Roman" w:eastAsia="Times New Roman" w:cs="Times New Roman"/>
          <w:sz w:val="28"/>
          <w:szCs w:val="28"/>
          <w:lang/>
        </w:rPr>
      </w:pPr>
      <w:r>
        <w:rPr>
          <w:rFonts w:ascii="Times New Roman" w:hAnsi="Times New Roman" w:eastAsia="Times New Roman" w:cs="Times New Roman"/>
          <w:sz w:val="28"/>
          <w:szCs w:val="28"/>
          <w:lang/>
        </w:rPr>
        <w:t>Operatorul va face dovada desfășurării activității pe baza</w:t>
      </w:r>
      <w:r>
        <w:rPr>
          <w:rFonts w:ascii="Times New Roman" w:hAnsi="Times New Roman" w:eastAsia="Times New Roman" w:cs="Times New Roman"/>
          <w:sz w:val="28"/>
          <w:szCs w:val="28"/>
          <w:lang w:val="en-US"/>
        </w:rPr>
        <w:t xml:space="preserve"> atestatelor si</w:t>
      </w:r>
      <w:r>
        <w:rPr>
          <w:rFonts w:ascii="Times New Roman" w:hAnsi="Times New Roman" w:eastAsia="Times New Roman" w:cs="Times New Roman"/>
          <w:sz w:val="28"/>
          <w:szCs w:val="28"/>
          <w:lang/>
        </w:rPr>
        <w:t xml:space="preserve"> licențelor eliberate de autoritățile de reglementare competente: ANRE (Atestate: </w:t>
      </w:r>
      <w:r>
        <w:rPr>
          <w:rFonts w:ascii="Times New Roman" w:hAnsi="Times New Roman" w:eastAsia="Times New Roman" w:cs="Times New Roman"/>
          <w:sz w:val="28"/>
          <w:szCs w:val="28"/>
          <w:lang w:val="en-US"/>
        </w:rPr>
        <w:t xml:space="preserve">cel putin tip </w:t>
      </w:r>
      <w:r>
        <w:rPr>
          <w:rFonts w:ascii="Times New Roman" w:hAnsi="Times New Roman" w:eastAsia="Times New Roman" w:cs="Times New Roman"/>
          <w:sz w:val="28"/>
          <w:szCs w:val="28"/>
          <w:lang/>
        </w:rPr>
        <w:t>B), ANRSC (Licența de operator de iluminat public Clasa 3 - cu Anexele aferente)</w:t>
      </w:r>
      <w:r>
        <w:rPr>
          <w:rFonts w:ascii="Times New Roman" w:hAnsi="Times New Roman" w:eastAsia="Times New Roman" w:cs="Times New Roman"/>
          <w:sz w:val="28"/>
          <w:szCs w:val="28"/>
          <w:lang w:val="en-US"/>
        </w:rPr>
        <w:t>.</w:t>
      </w:r>
      <w:r>
        <w:rPr>
          <w:rFonts w:ascii="Times New Roman" w:hAnsi="Times New Roman" w:eastAsia="Times New Roman" w:cs="Times New Roman"/>
          <w:sz w:val="28"/>
          <w:szCs w:val="28"/>
          <w:lang/>
        </w:rPr>
        <w:t xml:space="preserve"> </w:t>
      </w:r>
    </w:p>
    <w:p>
      <w:pPr>
        <w:spacing w:line="240" w:lineRule="auto"/>
        <w:ind w:firstLine="708"/>
        <w:jc w:val="both"/>
        <w:rPr>
          <w:rFonts w:ascii="Times New Roman" w:hAnsi="Times New Roman" w:cs="Times New Roman"/>
          <w:sz w:val="28"/>
          <w:szCs w:val="28"/>
          <w:lang w:val="en-US"/>
        </w:rPr>
      </w:pPr>
      <w:r>
        <w:rPr>
          <w:rFonts w:ascii="Times New Roman" w:hAnsi="Times New Roman" w:eastAsia="Times New Roman" w:cs="Times New Roman"/>
          <w:sz w:val="28"/>
          <w:szCs w:val="28"/>
          <w:lang/>
        </w:rPr>
        <w:t xml:space="preserve">In cazul selectarii ofertei a unui operator care nu poseda Licenta pentru iluminat public, acesta se obliga ca in termen de </w:t>
      </w:r>
      <w:r>
        <w:rPr>
          <w:rFonts w:ascii="Times New Roman" w:hAnsi="Times New Roman" w:eastAsia="Times New Roman" w:cs="Times New Roman"/>
          <w:sz w:val="28"/>
          <w:szCs w:val="28"/>
          <w:lang w:val="en-US"/>
        </w:rPr>
        <w:t>30</w:t>
      </w:r>
      <w:r>
        <w:rPr>
          <w:rFonts w:ascii="Times New Roman" w:hAnsi="Times New Roman" w:eastAsia="Times New Roman" w:cs="Times New Roman"/>
          <w:sz w:val="28"/>
          <w:szCs w:val="28"/>
          <w:lang/>
        </w:rPr>
        <w:t xml:space="preserve"> de zile, sa inainteze la ANRSC, documentatia in vederea obtinerii licentei.</w:t>
      </w:r>
      <w:r>
        <w:rPr>
          <w:rFonts w:ascii="Times New Roman" w:hAnsi="Times New Roman" w:eastAsia="Times New Roman" w:cs="Times New Roman"/>
          <w:sz w:val="28"/>
          <w:szCs w:val="28"/>
          <w:lang w:val="en-US"/>
        </w:rPr>
        <w:t xml:space="preserve"> Prioritate au agentii economici care detin deja licenta. Acestia sunt obligati ca in termen de 30 de zile, sa solicite ANRSC, extinderea licentei si pentru UAT Preutesti.</w:t>
      </w:r>
    </w:p>
    <w:p>
      <w:pPr>
        <w:spacing w:line="240" w:lineRule="auto"/>
        <w:jc w:val="both"/>
        <w:rPr>
          <w:rFonts w:ascii="Times New Roman" w:hAnsi="Times New Roman" w:cs="Times New Roman"/>
          <w:sz w:val="28"/>
          <w:szCs w:val="28"/>
        </w:rPr>
      </w:pPr>
      <w:r>
        <w:rPr>
          <w:rFonts w:ascii="Times New Roman" w:hAnsi="Times New Roman" w:eastAsia="Times New Roman" w:cs="Times New Roman"/>
          <w:sz w:val="28"/>
          <w:szCs w:val="28"/>
          <w:lang/>
        </w:rPr>
        <w:t xml:space="preserve"> </w:t>
      </w:r>
      <w:r>
        <w:rPr>
          <w:rFonts w:ascii="Times New Roman" w:hAnsi="Times New Roman" w:eastAsia="Times New Roman" w:cs="Times New Roman"/>
          <w:b/>
          <w:bCs/>
          <w:sz w:val="28"/>
          <w:szCs w:val="28"/>
          <w:lang/>
        </w:rPr>
        <w:t>Art.8</w:t>
      </w:r>
      <w:r>
        <w:rPr>
          <w:rFonts w:ascii="Times New Roman" w:hAnsi="Times New Roman" w:eastAsia="Times New Roman" w:cs="Times New Roman"/>
          <w:sz w:val="28"/>
          <w:szCs w:val="28"/>
          <w:lang/>
        </w:rPr>
        <w:tab/>
      </w:r>
      <w:r>
        <w:rPr>
          <w:rFonts w:ascii="Times New Roman" w:hAnsi="Times New Roman" w:eastAsia="Times New Roman" w:cs="Times New Roman"/>
          <w:sz w:val="28"/>
          <w:szCs w:val="28"/>
          <w:lang/>
        </w:rPr>
        <w:t xml:space="preserve"> a) Condițiile generale de realizare a mentenanței sistemuluide iluminat public al comunei </w:t>
      </w:r>
      <w:r>
        <w:rPr>
          <w:rFonts w:ascii="Times New Roman" w:hAnsi="Times New Roman" w:cs="Times New Roman"/>
          <w:sz w:val="28"/>
          <w:szCs w:val="28"/>
        </w:rPr>
        <w:t xml:space="preserve">Preutesti  </w:t>
      </w:r>
      <w:r>
        <w:rPr>
          <w:rFonts w:ascii="Times New Roman" w:hAnsi="Times New Roman" w:eastAsia="Times New Roman" w:cs="Times New Roman"/>
          <w:sz w:val="28"/>
          <w:szCs w:val="28"/>
          <w:lang/>
        </w:rPr>
        <w:t>sunt specificate în Regulamentul Serviciului.</w:t>
      </w:r>
    </w:p>
    <w:p>
      <w:pPr>
        <w:spacing w:line="240" w:lineRule="auto"/>
        <w:jc w:val="both"/>
        <w:rPr>
          <w:rFonts w:ascii="Times New Roman" w:hAnsi="Times New Roman" w:cs="Times New Roman"/>
          <w:sz w:val="28"/>
          <w:szCs w:val="28"/>
        </w:rPr>
      </w:pPr>
      <w:r>
        <w:rPr>
          <w:rFonts w:ascii="Times New Roman" w:hAnsi="Times New Roman" w:eastAsia="Times New Roman" w:cs="Times New Roman"/>
          <w:sz w:val="28"/>
          <w:szCs w:val="28"/>
          <w:lang/>
        </w:rPr>
        <w:t>b) Operatorul va desfășura activități de proiectare la solicitarea Autoritatii delegate, concretizate în documentații tehnice pentru:</w:t>
      </w:r>
    </w:p>
    <w:p>
      <w:pPr>
        <w:spacing w:line="240" w:lineRule="auto"/>
        <w:rPr>
          <w:rFonts w:ascii="Times New Roman" w:hAnsi="Times New Roman" w:cs="Times New Roman"/>
          <w:sz w:val="28"/>
          <w:szCs w:val="28"/>
        </w:rPr>
      </w:pPr>
      <w:r>
        <w:rPr>
          <w:rFonts w:ascii="Times New Roman" w:hAnsi="Times New Roman" w:eastAsia="Times New Roman" w:cs="Times New Roman"/>
          <w:sz w:val="28"/>
          <w:szCs w:val="28"/>
          <w:lang/>
        </w:rPr>
        <w:tab/>
      </w:r>
      <w:r>
        <w:rPr>
          <w:rFonts w:ascii="Times New Roman" w:hAnsi="Times New Roman" w:eastAsia="Times New Roman" w:cs="Times New Roman"/>
          <w:sz w:val="28"/>
          <w:szCs w:val="28"/>
          <w:lang/>
        </w:rPr>
        <w:t>- lucrări de iluminat ornamental festiv</w:t>
      </w:r>
    </w:p>
    <w:p>
      <w:pPr>
        <w:widowControl w:val="0"/>
        <w:tabs>
          <w:tab w:val="left" w:pos="851"/>
        </w:tabs>
        <w:spacing w:line="240" w:lineRule="auto"/>
        <w:jc w:val="both"/>
        <w:rPr>
          <w:rFonts w:ascii="Times New Roman" w:hAnsi="Times New Roman" w:eastAsia="Times New Roman" w:cs="Times New Roman"/>
          <w:bCs/>
          <w:sz w:val="28"/>
          <w:szCs w:val="28"/>
        </w:rPr>
      </w:pPr>
      <w:r>
        <w:rPr>
          <w:rFonts w:ascii="Times New Roman" w:hAnsi="Times New Roman" w:eastAsia="Times New Roman" w:cs="Times New Roman"/>
          <w:bCs/>
          <w:sz w:val="28"/>
          <w:szCs w:val="28"/>
        </w:rPr>
        <w:t xml:space="preserve">c) Realizarea iluminatului festiv </w:t>
      </w:r>
    </w:p>
    <w:p>
      <w:pPr>
        <w:widowControl w:val="0"/>
        <w:tabs>
          <w:tab w:val="left" w:pos="851"/>
        </w:tabs>
        <w:spacing w:line="240" w:lineRule="auto"/>
        <w:rPr>
          <w:rFonts w:ascii="Times New Roman" w:hAnsi="Times New Roman" w:eastAsia="Times New Roman" w:cs="Times New Roman"/>
          <w:bCs/>
          <w:sz w:val="28"/>
          <w:szCs w:val="28"/>
        </w:rPr>
      </w:pPr>
      <w:r>
        <w:rPr>
          <w:rFonts w:ascii="Times New Roman" w:hAnsi="Times New Roman" w:eastAsia="Times New Roman" w:cs="Times New Roman"/>
          <w:bCs/>
          <w:sz w:val="28"/>
          <w:szCs w:val="28"/>
        </w:rPr>
        <w:t>Serviciile de iluminat ornamental festiv, vor fi prestate pentru urmatoarele evenimente:</w:t>
      </w:r>
    </w:p>
    <w:p>
      <w:pPr>
        <w:widowControl w:val="0"/>
        <w:numPr>
          <w:ilvl w:val="0"/>
          <w:numId w:val="3"/>
        </w:numPr>
        <w:tabs>
          <w:tab w:val="left" w:pos="851"/>
        </w:tabs>
        <w:spacing w:line="240" w:lineRule="auto"/>
        <w:jc w:val="both"/>
        <w:rPr>
          <w:rFonts w:ascii="Times New Roman" w:hAnsi="Times New Roman" w:cs="Times New Roman"/>
          <w:sz w:val="28"/>
          <w:szCs w:val="28"/>
        </w:rPr>
      </w:pPr>
      <w:r>
        <w:rPr>
          <w:rFonts w:ascii="Times New Roman" w:hAnsi="Times New Roman" w:eastAsia="Times New Roman" w:cs="Times New Roman"/>
          <w:bCs/>
          <w:sz w:val="28"/>
          <w:szCs w:val="28"/>
        </w:rPr>
        <w:t>Sarbatorile pascale;</w:t>
      </w:r>
    </w:p>
    <w:p>
      <w:pPr>
        <w:widowControl w:val="0"/>
        <w:numPr>
          <w:ilvl w:val="0"/>
          <w:numId w:val="3"/>
        </w:numPr>
        <w:tabs>
          <w:tab w:val="left" w:pos="851"/>
        </w:tabs>
        <w:spacing w:line="240" w:lineRule="auto"/>
        <w:jc w:val="both"/>
        <w:rPr>
          <w:rFonts w:ascii="Times New Roman" w:hAnsi="Times New Roman" w:cs="Times New Roman"/>
          <w:sz w:val="28"/>
          <w:szCs w:val="28"/>
        </w:rPr>
      </w:pPr>
      <w:r>
        <w:rPr>
          <w:rFonts w:ascii="Times New Roman" w:hAnsi="Times New Roman" w:eastAsia="Times New Roman" w:cs="Times New Roman"/>
          <w:bCs/>
          <w:sz w:val="28"/>
          <w:szCs w:val="28"/>
        </w:rPr>
        <w:t>Sarbatorile de iarna;</w:t>
      </w:r>
    </w:p>
    <w:p>
      <w:pPr>
        <w:tabs>
          <w:tab w:val="left" w:pos="900"/>
          <w:tab w:val="left" w:pos="23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color w:val="000000"/>
          <w:sz w:val="28"/>
          <w:szCs w:val="28"/>
        </w:rPr>
        <w:t>Prestarea serviciului de iluminat ornamental festiv implică următoarele activități:</w:t>
      </w:r>
    </w:p>
    <w:p>
      <w:pPr>
        <w:tabs>
          <w:tab w:val="left" w:pos="900"/>
          <w:tab w:val="left" w:pos="23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 xml:space="preserve">- operatorul va elabora și va propune conceptul de decorațiuni festive ale comunei, pe baza temei de proiectare furnizată de Autoritatea delegata. Această temă va preciza locații, tipuri generale de decorare, inventarul echipamentelor funcționale aflate în proprietatea </w:t>
      </w:r>
      <w:r>
        <w:rPr>
          <w:rFonts w:ascii="Times New Roman" w:hAnsi="Times New Roman" w:eastAsia="Times New Roman" w:cs="Times New Roman"/>
          <w:sz w:val="28"/>
          <w:szCs w:val="28"/>
          <w:lang/>
        </w:rPr>
        <w:t xml:space="preserve">comunei </w:t>
      </w:r>
      <w:r>
        <w:rPr>
          <w:rFonts w:ascii="Times New Roman" w:hAnsi="Times New Roman" w:cs="Times New Roman"/>
          <w:sz w:val="28"/>
          <w:szCs w:val="28"/>
        </w:rPr>
        <w:t xml:space="preserve">Preutesti  </w:t>
      </w:r>
      <w:r>
        <w:rPr>
          <w:rFonts w:ascii="Times New Roman" w:hAnsi="Times New Roman" w:eastAsia="Times New Roman" w:cs="Times New Roman"/>
          <w:sz w:val="28"/>
          <w:szCs w:val="28"/>
          <w:lang/>
        </w:rPr>
        <w:t xml:space="preserve"> </w:t>
      </w:r>
      <w:r>
        <w:rPr>
          <w:rFonts w:ascii="Times New Roman" w:hAnsi="Times New Roman" w:eastAsia="Times New Roman" w:cs="Times New Roman"/>
          <w:color w:val="000000"/>
          <w:sz w:val="28"/>
          <w:szCs w:val="28"/>
        </w:rPr>
        <w:t>și bugetul aprobat pentru acest tip de iluminat. Conceptul va conține variante explicative, exemple de echipamente și tehnologii, simulări, evaluări energetice, de timp și financiare, aprecieri privind impactului asupra comunei.</w:t>
      </w:r>
    </w:p>
    <w:p>
      <w:pPr>
        <w:tabs>
          <w:tab w:val="left" w:pos="900"/>
          <w:tab w:val="left" w:pos="23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 după aprobarea formei finale a conceptului, operatorul va elabora proiectul tehnic bazat pe documentația tehnică pusă la dispoziție de Autoritatea delegata privind echipamentele deținute de Autoritatea delegata</w:t>
      </w:r>
    </w:p>
    <w:p>
      <w:pPr>
        <w:tabs>
          <w:tab w:val="left" w:pos="900"/>
          <w:tab w:val="left" w:pos="23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 Autoritatea delegata poate achiziționa direct sau închiria alte echipamente de iluminat festiv potrivit conceptului sau poate delega această sarcină operatorului</w:t>
      </w:r>
    </w:p>
    <w:p>
      <w:pPr>
        <w:tabs>
          <w:tab w:val="left" w:pos="900"/>
          <w:tab w:val="left" w:pos="23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 operatorul va monta și alimenta toate elementele de iluminat festiv puse la dispoziție de către Autoritatea delegata, potrivit documentației tehnice, a instrucțiunilor de montaj furnizate de autoritatea contractantă.</w:t>
      </w:r>
    </w:p>
    <w:p>
      <w:pPr>
        <w:tabs>
          <w:tab w:val="left" w:pos="900"/>
          <w:tab w:val="left" w:pos="23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sz w:val="28"/>
          <w:szCs w:val="28"/>
        </w:rPr>
        <w:tab/>
      </w:r>
      <w:r>
        <w:rPr>
          <w:rFonts w:ascii="Times New Roman" w:hAnsi="Times New Roman" w:eastAsia="Times New Roman" w:cs="Times New Roman"/>
          <w:color w:val="000000"/>
          <w:sz w:val="28"/>
          <w:szCs w:val="28"/>
        </w:rPr>
        <w:t>- verificarea şi supravegherea continuă a funcţionării instalaţiei de iluminat ornamental festiv;</w:t>
      </w:r>
    </w:p>
    <w:p>
      <w:pPr>
        <w:tabs>
          <w:tab w:val="left" w:pos="900"/>
          <w:tab w:val="left" w:pos="23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 corectarea şi adaptarea regimului de exploatare la cerinţele utilizatorului, cu respectarea proiectului tehnic;</w:t>
      </w:r>
    </w:p>
    <w:p>
      <w:pPr>
        <w:tabs>
          <w:tab w:val="left" w:pos="900"/>
          <w:tab w:val="left" w:pos="23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 controlul calităţii serviciului asigurat;</w:t>
      </w:r>
    </w:p>
    <w:p>
      <w:pPr>
        <w:tabs>
          <w:tab w:val="left" w:pos="900"/>
          <w:tab w:val="left" w:pos="23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 întreţinerea tuturor componentelor sistemului de iluminat ornamental festiv pe durata sărbătorilor;</w:t>
      </w:r>
    </w:p>
    <w:p>
      <w:pPr>
        <w:tabs>
          <w:tab w:val="left" w:pos="900"/>
          <w:tab w:val="left" w:pos="23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 menţinerea în stare de funcţionare la parametrii proiectaţi ai sistemului de iluminat ornamental festiv pe toată durata sărbătorilor;</w:t>
      </w:r>
    </w:p>
    <w:p>
      <w:pPr>
        <w:tabs>
          <w:tab w:val="left" w:pos="900"/>
          <w:tab w:val="left" w:pos="2340"/>
        </w:tabs>
        <w:spacing w:line="240" w:lineRule="auto"/>
        <w:ind w:left="720" w:right="-180"/>
        <w:jc w:val="both"/>
        <w:rPr>
          <w:rFonts w:ascii="Times New Roman" w:hAnsi="Times New Roman" w:cs="Times New Roman"/>
          <w:sz w:val="28"/>
          <w:szCs w:val="28"/>
        </w:rPr>
      </w:pP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 respectarea instrucţiunilor furnizorilor de echipamente;</w:t>
      </w:r>
    </w:p>
    <w:p>
      <w:pPr>
        <w:tabs>
          <w:tab w:val="left" w:pos="900"/>
          <w:tab w:val="left" w:pos="23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 asigurarea, pe toată durata de executare a serviciului, de personal calificat şi în număr suficient pentru îndeplinirea activităţilor ce fac obiectul serviciului de iluminat ornamental festiv;</w:t>
      </w:r>
    </w:p>
    <w:p>
      <w:pPr>
        <w:tabs>
          <w:tab w:val="left" w:pos="900"/>
          <w:tab w:val="left" w:pos="23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Cs/>
          <w:sz w:val="28"/>
          <w:szCs w:val="28"/>
          <w:lang w:val="fr-FR"/>
        </w:rPr>
        <w:tab/>
      </w:r>
      <w:r>
        <w:rPr>
          <w:rFonts w:ascii="Times New Roman" w:hAnsi="Times New Roman" w:eastAsia="Times New Roman" w:cs="Times New Roman"/>
          <w:bCs/>
          <w:sz w:val="28"/>
          <w:szCs w:val="28"/>
          <w:lang w:val="fr-FR"/>
        </w:rPr>
        <w:t>Pentru varianta închirierii de echipamente de iluminat festiv conform conceptului aprobat, din resursele operatorului, acesta va trebui sa propună elemente de noutate.</w:t>
      </w:r>
    </w:p>
    <w:p>
      <w:pPr>
        <w:tabs>
          <w:tab w:val="left" w:pos="900"/>
          <w:tab w:val="left" w:pos="23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 xml:space="preserve">Alimentarea instalaţiei de iluminat ornamental festiv se face din instalaţia de iluminat public. </w:t>
      </w:r>
    </w:p>
    <w:p>
      <w:pPr>
        <w:widowControl w:val="0"/>
        <w:tabs>
          <w:tab w:val="left" w:pos="851"/>
        </w:tabs>
        <w:spacing w:line="240" w:lineRule="auto"/>
        <w:ind w:left="142"/>
        <w:jc w:val="both"/>
        <w:rPr>
          <w:rFonts w:ascii="Times New Roman" w:hAnsi="Times New Roman" w:cs="Times New Roman"/>
          <w:sz w:val="28"/>
          <w:szCs w:val="28"/>
        </w:rPr>
      </w:pPr>
      <w:r>
        <w:rPr>
          <w:rFonts w:ascii="Times New Roman" w:hAnsi="Times New Roman" w:eastAsia="Times New Roman" w:cs="Times New Roman"/>
          <w:bCs/>
          <w:sz w:val="28"/>
          <w:szCs w:val="28"/>
          <w:lang w:val="fr-FR"/>
        </w:rPr>
        <w:tab/>
      </w:r>
      <w:r>
        <w:rPr>
          <w:rFonts w:ascii="Times New Roman" w:hAnsi="Times New Roman" w:eastAsia="Times New Roman" w:cs="Times New Roman"/>
          <w:bCs/>
          <w:color w:val="000000"/>
          <w:sz w:val="28"/>
          <w:szCs w:val="28"/>
          <w:lang w:val="fr-FR"/>
        </w:rPr>
        <w:t xml:space="preserve">Caracteristicile minimale ale echipamentelor sunt prezentate mai jos și în fișele tehnice anexate. Modelele prezentate în fișele tehnice sunt orientative. Operatorul va prezenta echipamente asemănătoare ca aspect și caracteristici tehnice. </w:t>
      </w:r>
      <w:r>
        <w:rPr>
          <w:rFonts w:ascii="Times New Roman" w:hAnsi="Times New Roman" w:eastAsia="Times New Roman" w:cs="Times New Roman"/>
          <w:bCs/>
          <w:color w:val="000000"/>
          <w:sz w:val="28"/>
          <w:szCs w:val="28"/>
        </w:rPr>
        <w:tab/>
      </w:r>
    </w:p>
    <w:p>
      <w:pPr>
        <w:tabs>
          <w:tab w:val="left" w:pos="1440"/>
        </w:tabs>
        <w:spacing w:line="240" w:lineRule="auto"/>
        <w:ind w:right="-180"/>
        <w:jc w:val="center"/>
        <w:rPr>
          <w:rFonts w:ascii="Times New Roman" w:hAnsi="Times New Roman" w:cs="Times New Roman"/>
          <w:sz w:val="28"/>
          <w:szCs w:val="28"/>
        </w:rPr>
      </w:pPr>
      <w:r>
        <w:rPr>
          <w:rFonts w:ascii="Times New Roman" w:hAnsi="Times New Roman" w:eastAsia="Times New Roman" w:cs="Times New Roman"/>
          <w:b/>
          <w:bCs/>
          <w:color w:val="000000"/>
          <w:sz w:val="28"/>
          <w:szCs w:val="28"/>
        </w:rPr>
        <w:t>Capitolul 3.</w:t>
      </w:r>
      <w:r>
        <w:rPr>
          <w:rFonts w:ascii="Times New Roman" w:hAnsi="Times New Roman" w:eastAsia="Times New Roman" w:cs="Times New Roman"/>
          <w:bCs/>
          <w:color w:val="000000"/>
          <w:sz w:val="28"/>
          <w:szCs w:val="28"/>
        </w:rPr>
        <w:tab/>
      </w:r>
      <w:r>
        <w:rPr>
          <w:rFonts w:ascii="Times New Roman" w:hAnsi="Times New Roman" w:eastAsia="Times New Roman" w:cs="Times New Roman"/>
          <w:b/>
          <w:bCs/>
          <w:color w:val="000000"/>
          <w:sz w:val="28"/>
          <w:szCs w:val="28"/>
        </w:rPr>
        <w:t>Sistemul de iluminat public</w:t>
      </w:r>
    </w:p>
    <w:p>
      <w:pPr>
        <w:tabs>
          <w:tab w:val="left" w:pos="1440"/>
        </w:tabs>
        <w:spacing w:line="240" w:lineRule="auto"/>
        <w:ind w:right="-180"/>
        <w:jc w:val="both"/>
        <w:rPr>
          <w:rFonts w:ascii="Times New Roman" w:hAnsi="Times New Roman" w:eastAsia="Times New Roman" w:cs="Times New Roman"/>
          <w:b/>
          <w:bCs/>
          <w:color w:val="000000"/>
          <w:sz w:val="28"/>
          <w:szCs w:val="28"/>
        </w:rPr>
      </w:pPr>
    </w:p>
    <w:p>
      <w:pPr>
        <w:tabs>
          <w:tab w:val="left" w:pos="14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
          <w:bCs/>
          <w:color w:val="000000"/>
          <w:sz w:val="28"/>
          <w:szCs w:val="28"/>
        </w:rPr>
        <w:t>Art.9</w:t>
      </w:r>
      <w:r>
        <w:rPr>
          <w:rFonts w:ascii="Times New Roman" w:hAnsi="Times New Roman" w:eastAsia="Times New Roman" w:cs="Times New Roman"/>
          <w:bCs/>
          <w:color w:val="000000"/>
          <w:sz w:val="28"/>
          <w:szCs w:val="28"/>
        </w:rPr>
        <w:t xml:space="preserve"> Operatorul are permisiunea de exploatare comercială, în condiţiile legii, a sistemului de iluminat public, în aria administrativ-teritorială a comunaui </w:t>
      </w:r>
      <w:r>
        <w:rPr>
          <w:rFonts w:ascii="Times New Roman" w:hAnsi="Times New Roman" w:cs="Times New Roman"/>
          <w:sz w:val="28"/>
          <w:szCs w:val="28"/>
        </w:rPr>
        <w:t xml:space="preserve">Preutesti  .    </w:t>
      </w:r>
    </w:p>
    <w:p>
      <w:pPr>
        <w:tabs>
          <w:tab w:val="left" w:pos="14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color w:val="000000"/>
          <w:sz w:val="28"/>
          <w:szCs w:val="28"/>
        </w:rPr>
        <w:t>Stabilirea categoriilor de bunuri:</w:t>
      </w:r>
    </w:p>
    <w:p>
      <w:pPr>
        <w:tabs>
          <w:tab w:val="left" w:pos="14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Cs/>
          <w:color w:val="000000"/>
          <w:sz w:val="28"/>
          <w:szCs w:val="28"/>
        </w:rPr>
        <w:t xml:space="preserve">      a) Bunuri de retur - acele bunuri publice transmise cu titlu gratuit în administrarea operatorului, inclusiv cele realizate pe perioada proiectului în scopul îndeplinirii obiectivelor delegării gestiunii și care, la încetarea contractului revin de drept, gratuit, în bună stare, exploatabile și libere de orice sarcini sau obligații, Autorității delegante.</w:t>
      </w:r>
    </w:p>
    <w:p>
      <w:pPr>
        <w:tabs>
          <w:tab w:val="left" w:pos="72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Cs/>
          <w:color w:val="000000"/>
          <w:sz w:val="28"/>
          <w:szCs w:val="28"/>
        </w:rPr>
        <w:t xml:space="preserve">       b) În prezent sunt părți componente din sistemul de iluminat public, respectiv din infrastructura necesară prestării serviciului de iluminat public care aparțin distribuitorului de energie electrică - proprietarul sistemului de distributie a energiei electrice (DELGAZ GRID). Ca urmare, odata cu încheierea contractului de delegare a gestiunii serviciului, autoritatea administratiei publice locale va cesiona operatorului de iluminat public drepturile și obligațiile ce derivă din Contractul privind folosirea infrastructurii sistemului de distributie a energiei electrice pentru realizarea serviciului de iluminat public conform Ordinului comun al ANRE si ANRSC Nr. 93 din 20 martie 2007 pentru aprobarea Contractului - cadru privind folosirea infrastructurii sistemului de distributie a energiei electrice pentru realizarea serviciului de iluminat public. UAT Preutesti, are aincheiat Contract -cadru cu S.C. DELGAZ GRID S.A., privind folosirea infrastructurii Sistemului de distributie a energiei electrice pentru realizarea serviciului de iluminat public.</w:t>
      </w:r>
      <w:r>
        <w:rPr>
          <w:rFonts w:ascii="Times New Roman" w:hAnsi="Times New Roman" w:eastAsia="Times New Roman" w:cs="Times New Roman"/>
          <w:bCs/>
          <w:sz w:val="28"/>
          <w:szCs w:val="28"/>
        </w:rPr>
        <w:t xml:space="preserve"> Pentru realizarea serviciului de iluminat public, operatorul va încheia, o convenție de exploatare și una de lucrări cu operatorul de distribuție a energiei electrice.</w:t>
      </w:r>
    </w:p>
    <w:p>
      <w:pPr>
        <w:tabs>
          <w:tab w:val="left" w:pos="72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Cs/>
          <w:color w:val="000000"/>
          <w:sz w:val="28"/>
          <w:szCs w:val="28"/>
        </w:rPr>
        <w:t xml:space="preserve">        c)La sfarsitul contractului de delegare a gestiunii, operatorul va fi obligat sa predea sistemul de iluminat public și patrimonial aferent dat spre folosire și în administrare, inclusiv toate componentele care au devenit parte din sistem, Autoritatii delegate, conform clauzelor prevazute în contract, după efectuarea auditului finalizat cu cel putin 3 luni inainte de finalizarea contractului.</w:t>
      </w:r>
    </w:p>
    <w:p>
      <w:pPr>
        <w:tabs>
          <w:tab w:val="left" w:pos="72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Cs/>
          <w:color w:val="000000"/>
          <w:sz w:val="28"/>
          <w:szCs w:val="28"/>
        </w:rPr>
        <w:tab/>
      </w:r>
      <w:r>
        <w:rPr>
          <w:rFonts w:ascii="Times New Roman" w:hAnsi="Times New Roman" w:eastAsia="Times New Roman" w:cs="Times New Roman"/>
          <w:bCs/>
          <w:color w:val="000000"/>
          <w:sz w:val="28"/>
          <w:szCs w:val="28"/>
        </w:rPr>
        <w:t>d)Toate utilajele și dotările, proprietatea operatorului, utilizate de acesta în derularea contractului sunt și vor rămâne proprietatea acestuia și după încheierea delegării.</w:t>
      </w:r>
    </w:p>
    <w:p>
      <w:pPr>
        <w:tabs>
          <w:tab w:val="left" w:pos="72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Cs/>
          <w:color w:val="000000"/>
          <w:sz w:val="28"/>
          <w:szCs w:val="28"/>
        </w:rPr>
        <w:tab/>
      </w:r>
      <w:r>
        <w:rPr>
          <w:rFonts w:ascii="Times New Roman" w:hAnsi="Times New Roman" w:eastAsia="Times New Roman" w:cs="Times New Roman"/>
          <w:bCs/>
          <w:color w:val="000000"/>
          <w:sz w:val="28"/>
          <w:szCs w:val="28"/>
        </w:rPr>
        <w:t>e)Materialele recuperate ca urmare a demontării lor din sistemul de iluminat public se vor preda pe categorii, cu proces-verbal, anterior emiterii situațiilor de plată, către un reprezentant al autorității publice locale la locația comunicată de către autoritatea locală. Din comisia de recepție privind predarea acestor materiale vor face parte și reprezentantul desemnat din cadrul comunei</w:t>
      </w:r>
      <w:r>
        <w:rPr>
          <w:rFonts w:ascii="Times New Roman" w:hAnsi="Times New Roman" w:eastAsia="Times New Roman" w:cs="Times New Roman"/>
          <w:sz w:val="28"/>
          <w:szCs w:val="28"/>
          <w:lang/>
        </w:rPr>
        <w:t xml:space="preserve"> </w:t>
      </w:r>
      <w:r>
        <w:rPr>
          <w:rFonts w:ascii="Times New Roman" w:hAnsi="Times New Roman" w:cs="Times New Roman"/>
          <w:sz w:val="28"/>
          <w:szCs w:val="28"/>
        </w:rPr>
        <w:t xml:space="preserve">Preutesti      </w:t>
      </w:r>
      <w:r>
        <w:rPr>
          <w:rFonts w:ascii="Times New Roman" w:hAnsi="Times New Roman" w:eastAsia="Times New Roman" w:cs="Times New Roman"/>
          <w:sz w:val="28"/>
          <w:szCs w:val="28"/>
          <w:lang/>
        </w:rPr>
        <w:t xml:space="preserve"> .</w:t>
      </w:r>
    </w:p>
    <w:p>
      <w:pPr>
        <w:tabs>
          <w:tab w:val="left" w:pos="14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
          <w:bCs/>
          <w:color w:val="000000"/>
          <w:sz w:val="28"/>
          <w:szCs w:val="28"/>
        </w:rPr>
        <w:t>Art.10</w:t>
      </w:r>
      <w:r>
        <w:rPr>
          <w:rFonts w:ascii="Times New Roman" w:hAnsi="Times New Roman" w:eastAsia="Times New Roman" w:cs="Times New Roman"/>
          <w:bCs/>
          <w:color w:val="000000"/>
          <w:sz w:val="28"/>
          <w:szCs w:val="28"/>
        </w:rPr>
        <w:t xml:space="preserve"> Caracteristici Sistemului de iluminat public din comuna </w:t>
      </w:r>
      <w:r>
        <w:rPr>
          <w:rFonts w:ascii="Times New Roman" w:hAnsi="Times New Roman" w:cs="Times New Roman"/>
          <w:sz w:val="28"/>
          <w:szCs w:val="28"/>
        </w:rPr>
        <w:t xml:space="preserve">Preutesti      </w:t>
      </w:r>
      <w:r>
        <w:rPr>
          <w:rFonts w:ascii="Times New Roman" w:hAnsi="Times New Roman" w:eastAsia="Times New Roman" w:cs="Times New Roman"/>
          <w:bCs/>
          <w:color w:val="000000"/>
          <w:sz w:val="28"/>
          <w:szCs w:val="28"/>
        </w:rPr>
        <w:t>.</w:t>
      </w:r>
    </w:p>
    <w:p>
      <w:pPr>
        <w:pStyle w:val="9"/>
        <w:spacing w:after="0"/>
        <w:ind w:left="75" w:right="-180"/>
        <w:jc w:val="both"/>
        <w:rPr>
          <w:sz w:val="28"/>
          <w:szCs w:val="28"/>
        </w:rPr>
      </w:pPr>
      <w:r>
        <w:rPr>
          <w:sz w:val="28"/>
          <w:szCs w:val="28"/>
        </w:rPr>
        <w:t>Situatia retelei de iluminat public din comuna Preutesti, este asemanatoare cu retelele de iluminat public din comunele din Romania, adica pe stilpi comuni cu reteaua de distributie a energiei electrice, avind conductorul de faza pentru iluminat public separat, dar conductorul de nul, comun cu reteaua de distributie. Punctele de aprindere pentru iluminat public sunt in cutiile de distributie a posturilor de transformare ale distribuitorului de energie electrica sau in cutii separate pe stilpii DELGAZ grid. Sistemul de iluminat public din comuna Preutesti, are ceasuri programatoare.</w:t>
      </w:r>
    </w:p>
    <w:p>
      <w:pPr>
        <w:pStyle w:val="9"/>
        <w:spacing w:after="0"/>
        <w:ind w:left="75" w:right="-180"/>
        <w:jc w:val="both"/>
        <w:rPr>
          <w:sz w:val="28"/>
          <w:szCs w:val="28"/>
        </w:rPr>
      </w:pPr>
      <w:r>
        <w:rPr>
          <w:sz w:val="28"/>
          <w:szCs w:val="28"/>
        </w:rPr>
        <w:t>Sistemul de iluminat public, este alimentat din posturile de transformare ale distribuitorului de energie electrica, astfel:</w:t>
      </w:r>
    </w:p>
    <w:tbl>
      <w:tblPr>
        <w:tblStyle w:val="7"/>
        <w:tblW w:w="10065" w:type="dxa"/>
        <w:tblInd w:w="55" w:type="dxa"/>
        <w:tblLayout w:type="fixed"/>
        <w:tblCellMar>
          <w:top w:w="55" w:type="dxa"/>
          <w:left w:w="55" w:type="dxa"/>
          <w:bottom w:w="55" w:type="dxa"/>
          <w:right w:w="55" w:type="dxa"/>
        </w:tblCellMar>
      </w:tblPr>
      <w:tblGrid>
        <w:gridCol w:w="560"/>
        <w:gridCol w:w="2247"/>
        <w:gridCol w:w="985"/>
        <w:gridCol w:w="1406"/>
        <w:gridCol w:w="1359"/>
        <w:gridCol w:w="3508"/>
      </w:tblGrid>
      <w:tr>
        <w:tblPrEx>
          <w:tblCellMar>
            <w:top w:w="55" w:type="dxa"/>
            <w:left w:w="55" w:type="dxa"/>
            <w:bottom w:w="55" w:type="dxa"/>
            <w:right w:w="55" w:type="dxa"/>
          </w:tblCellMar>
        </w:tblPrEx>
        <w:trPr>
          <w:wBefore w:w="0" w:type="dxa"/>
        </w:trPr>
        <w:tc>
          <w:tcPr>
            <w:tcW w:w="560" w:type="dxa"/>
            <w:tcBorders>
              <w:top w:val="single" w:color="000000" w:sz="4" w:space="0"/>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Nr. crt</w:t>
            </w:r>
          </w:p>
        </w:tc>
        <w:tc>
          <w:tcPr>
            <w:tcW w:w="2247" w:type="dxa"/>
            <w:tcBorders>
              <w:top w:val="single" w:color="000000" w:sz="4" w:space="0"/>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Denumire</w:t>
            </w:r>
          </w:p>
        </w:tc>
        <w:tc>
          <w:tcPr>
            <w:tcW w:w="985" w:type="dxa"/>
            <w:tcBorders>
              <w:top w:val="single" w:color="000000" w:sz="4" w:space="0"/>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An PIF</w:t>
            </w:r>
          </w:p>
        </w:tc>
        <w:tc>
          <w:tcPr>
            <w:tcW w:w="1406" w:type="dxa"/>
            <w:tcBorders>
              <w:top w:val="single" w:color="000000" w:sz="4" w:space="0"/>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Putere instalata</w:t>
            </w:r>
          </w:p>
        </w:tc>
        <w:tc>
          <w:tcPr>
            <w:tcW w:w="1359" w:type="dxa"/>
            <w:tcBorders>
              <w:top w:val="single" w:color="000000" w:sz="4" w:space="0"/>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Putere disponibila</w:t>
            </w:r>
          </w:p>
        </w:tc>
        <w:tc>
          <w:tcPr>
            <w:tcW w:w="3508" w:type="dxa"/>
            <w:tcBorders>
              <w:top w:val="single" w:color="000000" w:sz="4" w:space="0"/>
              <w:left w:val="single" w:color="000000" w:sz="4" w:space="0"/>
              <w:bottom w:val="single" w:color="000000" w:sz="4" w:space="0"/>
              <w:right w:val="single" w:color="000000"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Punct de aprindere</w:t>
            </w:r>
          </w:p>
        </w:tc>
      </w:tr>
      <w:tr>
        <w:tblPrEx>
          <w:tblCellMar>
            <w:top w:w="55" w:type="dxa"/>
            <w:left w:w="55" w:type="dxa"/>
            <w:bottom w:w="55" w:type="dxa"/>
            <w:right w:w="55" w:type="dxa"/>
          </w:tblCellMar>
        </w:tblPrEx>
        <w:trPr>
          <w:wBefore w:w="0" w:type="dxa"/>
          <w:trHeight w:val="569" w:hRule="atLeast"/>
        </w:trPr>
        <w:tc>
          <w:tcPr>
            <w:tcW w:w="560"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w:t>
            </w:r>
          </w:p>
        </w:tc>
        <w:tc>
          <w:tcPr>
            <w:tcW w:w="2247"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PTA 1 Preutesti     </w:t>
            </w:r>
          </w:p>
        </w:tc>
        <w:tc>
          <w:tcPr>
            <w:tcW w:w="985"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1975</w:t>
            </w:r>
          </w:p>
        </w:tc>
        <w:tc>
          <w:tcPr>
            <w:tcW w:w="140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250 kVA</w:t>
            </w:r>
          </w:p>
        </w:tc>
        <w:tc>
          <w:tcPr>
            <w:tcW w:w="1359"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45 kVA</w:t>
            </w:r>
          </w:p>
        </w:tc>
        <w:tc>
          <w:tcPr>
            <w:tcW w:w="3508" w:type="dxa"/>
            <w:tcBorders>
              <w:top w:val="nil"/>
              <w:left w:val="single" w:color="000000" w:sz="4" w:space="0"/>
              <w:bottom w:val="single" w:color="000000" w:sz="4" w:space="0"/>
              <w:right w:val="single" w:color="000000" w:sz="4" w:space="0"/>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Punct de aprindere separat pe stilpul Delgaz grid</w:t>
            </w:r>
          </w:p>
        </w:tc>
      </w:tr>
      <w:tr>
        <w:tblPrEx>
          <w:tblCellMar>
            <w:top w:w="55" w:type="dxa"/>
            <w:left w:w="55" w:type="dxa"/>
            <w:bottom w:w="55" w:type="dxa"/>
            <w:right w:w="55" w:type="dxa"/>
          </w:tblCellMar>
        </w:tblPrEx>
        <w:trPr>
          <w:wBefore w:w="0" w:type="dxa"/>
        </w:trPr>
        <w:tc>
          <w:tcPr>
            <w:tcW w:w="560"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w:t>
            </w:r>
          </w:p>
        </w:tc>
        <w:tc>
          <w:tcPr>
            <w:tcW w:w="2247"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PTA 2 Preutesti     </w:t>
            </w:r>
          </w:p>
        </w:tc>
        <w:tc>
          <w:tcPr>
            <w:tcW w:w="985" w:type="dxa"/>
            <w:tcBorders>
              <w:top w:val="nil"/>
              <w:left w:val="single" w:color="000000"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1984</w:t>
            </w:r>
          </w:p>
        </w:tc>
        <w:tc>
          <w:tcPr>
            <w:tcW w:w="1406" w:type="dxa"/>
            <w:tcBorders>
              <w:top w:val="nil"/>
              <w:left w:val="single" w:color="auto"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63 kVA</w:t>
            </w:r>
          </w:p>
        </w:tc>
        <w:tc>
          <w:tcPr>
            <w:tcW w:w="1359" w:type="dxa"/>
            <w:tcBorders>
              <w:top w:val="nil"/>
              <w:left w:val="single" w:color="auto"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w:t>
            </w:r>
          </w:p>
        </w:tc>
        <w:tc>
          <w:tcPr>
            <w:tcW w:w="3508" w:type="dxa"/>
            <w:tcBorders>
              <w:top w:val="nil"/>
              <w:left w:val="single" w:color="000000" w:sz="4" w:space="0"/>
              <w:bottom w:val="single" w:color="000000" w:sz="4" w:space="0"/>
              <w:right w:val="single" w:color="000000" w:sz="4" w:space="0"/>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Punct de aprindere in cutia de distributie a PTA</w:t>
            </w:r>
          </w:p>
        </w:tc>
      </w:tr>
      <w:tr>
        <w:tblPrEx>
          <w:tblCellMar>
            <w:top w:w="55" w:type="dxa"/>
            <w:left w:w="55" w:type="dxa"/>
            <w:bottom w:w="55" w:type="dxa"/>
            <w:right w:w="55" w:type="dxa"/>
          </w:tblCellMar>
        </w:tblPrEx>
        <w:trPr>
          <w:wBefore w:w="0" w:type="dxa"/>
          <w:trHeight w:val="438" w:hRule="atLeast"/>
        </w:trPr>
        <w:tc>
          <w:tcPr>
            <w:tcW w:w="560"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w:t>
            </w:r>
          </w:p>
        </w:tc>
        <w:tc>
          <w:tcPr>
            <w:tcW w:w="2247"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PTA 3 Preutesti     </w:t>
            </w:r>
          </w:p>
        </w:tc>
        <w:tc>
          <w:tcPr>
            <w:tcW w:w="985" w:type="dxa"/>
            <w:tcBorders>
              <w:top w:val="nil"/>
              <w:left w:val="single" w:color="000000"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1975</w:t>
            </w:r>
          </w:p>
        </w:tc>
        <w:tc>
          <w:tcPr>
            <w:tcW w:w="1406" w:type="dxa"/>
            <w:tcBorders>
              <w:top w:val="nil"/>
              <w:left w:val="single" w:color="auto"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100 kVA</w:t>
            </w:r>
          </w:p>
        </w:tc>
        <w:tc>
          <w:tcPr>
            <w:tcW w:w="1359" w:type="dxa"/>
            <w:tcBorders>
              <w:top w:val="nil"/>
              <w:left w:val="single" w:color="auto"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25 kVA</w:t>
            </w:r>
          </w:p>
        </w:tc>
        <w:tc>
          <w:tcPr>
            <w:tcW w:w="3508" w:type="dxa"/>
            <w:tcBorders>
              <w:top w:val="nil"/>
              <w:left w:val="single" w:color="000000" w:sz="4" w:space="0"/>
              <w:bottom w:val="single" w:color="000000" w:sz="4" w:space="0"/>
              <w:right w:val="single" w:color="000000" w:sz="4" w:space="0"/>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Punct de aprindere separat pe stilpul Delgaz grid</w:t>
            </w:r>
          </w:p>
        </w:tc>
      </w:tr>
      <w:tr>
        <w:tblPrEx>
          <w:tblCellMar>
            <w:top w:w="55" w:type="dxa"/>
            <w:left w:w="55" w:type="dxa"/>
            <w:bottom w:w="55" w:type="dxa"/>
            <w:right w:w="55" w:type="dxa"/>
          </w:tblCellMar>
        </w:tblPrEx>
        <w:trPr>
          <w:wBefore w:w="0" w:type="dxa"/>
        </w:trPr>
        <w:tc>
          <w:tcPr>
            <w:tcW w:w="560"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4.</w:t>
            </w:r>
          </w:p>
        </w:tc>
        <w:tc>
          <w:tcPr>
            <w:tcW w:w="2247"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PTA 4 Preutesti    </w:t>
            </w:r>
          </w:p>
        </w:tc>
        <w:tc>
          <w:tcPr>
            <w:tcW w:w="985"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1975</w:t>
            </w:r>
          </w:p>
        </w:tc>
        <w:tc>
          <w:tcPr>
            <w:tcW w:w="1406" w:type="dxa"/>
            <w:tcBorders>
              <w:top w:val="nil"/>
              <w:left w:val="single" w:color="000000"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100 kVA</w:t>
            </w:r>
          </w:p>
        </w:tc>
        <w:tc>
          <w:tcPr>
            <w:tcW w:w="1359" w:type="dxa"/>
            <w:tcBorders>
              <w:top w:val="nil"/>
              <w:left w:val="single" w:color="auto"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w:t>
            </w:r>
          </w:p>
        </w:tc>
        <w:tc>
          <w:tcPr>
            <w:tcW w:w="3508" w:type="dxa"/>
            <w:tcBorders>
              <w:top w:val="nil"/>
              <w:left w:val="single" w:color="000000" w:sz="4" w:space="0"/>
              <w:bottom w:val="single" w:color="000000" w:sz="4" w:space="0"/>
              <w:right w:val="single" w:color="000000" w:sz="4" w:space="0"/>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Punct de aprindere separat pe stilpul Delgaz grid</w:t>
            </w:r>
          </w:p>
        </w:tc>
      </w:tr>
      <w:tr>
        <w:tblPrEx>
          <w:tblCellMar>
            <w:top w:w="55" w:type="dxa"/>
            <w:left w:w="55" w:type="dxa"/>
            <w:bottom w:w="55" w:type="dxa"/>
            <w:right w:w="55" w:type="dxa"/>
          </w:tblCellMar>
        </w:tblPrEx>
        <w:trPr>
          <w:wBefore w:w="0" w:type="dxa"/>
        </w:trPr>
        <w:tc>
          <w:tcPr>
            <w:tcW w:w="560"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5.</w:t>
            </w:r>
          </w:p>
        </w:tc>
        <w:tc>
          <w:tcPr>
            <w:tcW w:w="2247"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PTA 5 Preutesti    </w:t>
            </w:r>
          </w:p>
        </w:tc>
        <w:tc>
          <w:tcPr>
            <w:tcW w:w="985" w:type="dxa"/>
            <w:tcBorders>
              <w:top w:val="nil"/>
              <w:left w:val="single" w:color="000000"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1975</w:t>
            </w:r>
          </w:p>
        </w:tc>
        <w:tc>
          <w:tcPr>
            <w:tcW w:w="1406" w:type="dxa"/>
            <w:tcBorders>
              <w:top w:val="nil"/>
              <w:left w:val="single" w:color="auto"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63 kVA</w:t>
            </w:r>
          </w:p>
        </w:tc>
        <w:tc>
          <w:tcPr>
            <w:tcW w:w="1359" w:type="dxa"/>
            <w:tcBorders>
              <w:top w:val="nil"/>
              <w:left w:val="single" w:color="auto"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w:t>
            </w:r>
          </w:p>
        </w:tc>
        <w:tc>
          <w:tcPr>
            <w:tcW w:w="3508" w:type="dxa"/>
            <w:tcBorders>
              <w:top w:val="nil"/>
              <w:left w:val="single" w:color="000000" w:sz="4" w:space="0"/>
              <w:bottom w:val="single" w:color="000000" w:sz="4" w:space="0"/>
              <w:right w:val="single" w:color="000000" w:sz="4" w:space="0"/>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Punct de aprindere separat pe stilpul Delgaz grid</w:t>
            </w:r>
          </w:p>
        </w:tc>
      </w:tr>
      <w:tr>
        <w:tblPrEx>
          <w:tblCellMar>
            <w:top w:w="55" w:type="dxa"/>
            <w:left w:w="55" w:type="dxa"/>
            <w:bottom w:w="55" w:type="dxa"/>
            <w:right w:w="55" w:type="dxa"/>
          </w:tblCellMar>
        </w:tblPrEx>
        <w:trPr>
          <w:wBefore w:w="0" w:type="dxa"/>
        </w:trPr>
        <w:tc>
          <w:tcPr>
            <w:tcW w:w="560"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6.</w:t>
            </w:r>
          </w:p>
        </w:tc>
        <w:tc>
          <w:tcPr>
            <w:tcW w:w="2247"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PTA 6 Preutesti  </w:t>
            </w:r>
          </w:p>
        </w:tc>
        <w:tc>
          <w:tcPr>
            <w:tcW w:w="985" w:type="dxa"/>
            <w:tcBorders>
              <w:top w:val="nil"/>
              <w:left w:val="single" w:color="000000"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1984</w:t>
            </w:r>
          </w:p>
        </w:tc>
        <w:tc>
          <w:tcPr>
            <w:tcW w:w="1406" w:type="dxa"/>
            <w:tcBorders>
              <w:top w:val="nil"/>
              <w:left w:val="single" w:color="auto"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100 kVA</w:t>
            </w:r>
          </w:p>
        </w:tc>
        <w:tc>
          <w:tcPr>
            <w:tcW w:w="1359" w:type="dxa"/>
            <w:tcBorders>
              <w:top w:val="nil"/>
              <w:left w:val="single" w:color="auto"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w:t>
            </w:r>
          </w:p>
        </w:tc>
        <w:tc>
          <w:tcPr>
            <w:tcW w:w="3508" w:type="dxa"/>
            <w:tcBorders>
              <w:top w:val="nil"/>
              <w:left w:val="single" w:color="000000" w:sz="4" w:space="0"/>
              <w:bottom w:val="single" w:color="000000" w:sz="4" w:space="0"/>
              <w:right w:val="single" w:color="000000" w:sz="4" w:space="0"/>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Punct de aprindere in cutia de distributie a PTA</w:t>
            </w:r>
          </w:p>
        </w:tc>
      </w:tr>
      <w:tr>
        <w:tblPrEx>
          <w:tblCellMar>
            <w:top w:w="55" w:type="dxa"/>
            <w:left w:w="55" w:type="dxa"/>
            <w:bottom w:w="55" w:type="dxa"/>
            <w:right w:w="55" w:type="dxa"/>
          </w:tblCellMar>
        </w:tblPrEx>
        <w:trPr>
          <w:wBefore w:w="0" w:type="dxa"/>
        </w:trPr>
        <w:tc>
          <w:tcPr>
            <w:tcW w:w="560"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7.</w:t>
            </w:r>
          </w:p>
        </w:tc>
        <w:tc>
          <w:tcPr>
            <w:tcW w:w="2247"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PTA 1 Manastioara (Preutesti)</w:t>
            </w:r>
          </w:p>
        </w:tc>
        <w:tc>
          <w:tcPr>
            <w:tcW w:w="985" w:type="dxa"/>
            <w:tcBorders>
              <w:top w:val="nil"/>
              <w:left w:val="single" w:color="000000"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1984</w:t>
            </w:r>
          </w:p>
        </w:tc>
        <w:tc>
          <w:tcPr>
            <w:tcW w:w="1406" w:type="dxa"/>
            <w:tcBorders>
              <w:top w:val="nil"/>
              <w:left w:val="single" w:color="auto"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63 kVA</w:t>
            </w:r>
          </w:p>
        </w:tc>
        <w:tc>
          <w:tcPr>
            <w:tcW w:w="1359" w:type="dxa"/>
            <w:tcBorders>
              <w:top w:val="nil"/>
              <w:left w:val="single" w:color="auto"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w:t>
            </w:r>
          </w:p>
        </w:tc>
        <w:tc>
          <w:tcPr>
            <w:tcW w:w="3508" w:type="dxa"/>
            <w:tcBorders>
              <w:top w:val="nil"/>
              <w:left w:val="single" w:color="000000" w:sz="4" w:space="0"/>
              <w:bottom w:val="single" w:color="000000" w:sz="4" w:space="0"/>
              <w:right w:val="single" w:color="000000" w:sz="4" w:space="0"/>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Punct de aprindere in cutia de distributie a PTA</w:t>
            </w:r>
          </w:p>
        </w:tc>
      </w:tr>
      <w:tr>
        <w:tblPrEx>
          <w:tblCellMar>
            <w:top w:w="55" w:type="dxa"/>
            <w:left w:w="55" w:type="dxa"/>
            <w:bottom w:w="55" w:type="dxa"/>
            <w:right w:w="55" w:type="dxa"/>
          </w:tblCellMar>
        </w:tblPrEx>
        <w:trPr>
          <w:wBefore w:w="0" w:type="dxa"/>
        </w:trPr>
        <w:tc>
          <w:tcPr>
            <w:tcW w:w="560"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8.</w:t>
            </w:r>
          </w:p>
        </w:tc>
        <w:tc>
          <w:tcPr>
            <w:tcW w:w="2247"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PTA 1 Arghira  </w:t>
            </w:r>
          </w:p>
        </w:tc>
        <w:tc>
          <w:tcPr>
            <w:tcW w:w="985" w:type="dxa"/>
            <w:tcBorders>
              <w:top w:val="nil"/>
              <w:left w:val="single" w:color="000000"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1975</w:t>
            </w:r>
          </w:p>
        </w:tc>
        <w:tc>
          <w:tcPr>
            <w:tcW w:w="1406" w:type="dxa"/>
            <w:tcBorders>
              <w:top w:val="nil"/>
              <w:left w:val="single" w:color="auto"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63 kVA</w:t>
            </w:r>
          </w:p>
        </w:tc>
        <w:tc>
          <w:tcPr>
            <w:tcW w:w="1359" w:type="dxa"/>
            <w:tcBorders>
              <w:top w:val="nil"/>
              <w:left w:val="single" w:color="auto"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w:t>
            </w:r>
          </w:p>
        </w:tc>
        <w:tc>
          <w:tcPr>
            <w:tcW w:w="3508" w:type="dxa"/>
            <w:tcBorders>
              <w:top w:val="nil"/>
              <w:left w:val="single" w:color="000000" w:sz="4" w:space="0"/>
              <w:bottom w:val="single" w:color="000000" w:sz="4" w:space="0"/>
              <w:right w:val="single" w:color="000000" w:sz="4" w:space="0"/>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Punct de aprindere separat pe stilpul Delgaz grid</w:t>
            </w:r>
          </w:p>
        </w:tc>
      </w:tr>
      <w:tr>
        <w:tblPrEx>
          <w:tblCellMar>
            <w:top w:w="55" w:type="dxa"/>
            <w:left w:w="55" w:type="dxa"/>
            <w:bottom w:w="55" w:type="dxa"/>
            <w:right w:w="55" w:type="dxa"/>
          </w:tblCellMar>
        </w:tblPrEx>
        <w:trPr>
          <w:wBefore w:w="0" w:type="dxa"/>
        </w:trPr>
        <w:tc>
          <w:tcPr>
            <w:tcW w:w="560"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9.</w:t>
            </w:r>
          </w:p>
        </w:tc>
        <w:tc>
          <w:tcPr>
            <w:tcW w:w="2247"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PTA 2 Arghira </w:t>
            </w:r>
          </w:p>
        </w:tc>
        <w:tc>
          <w:tcPr>
            <w:tcW w:w="985" w:type="dxa"/>
            <w:tcBorders>
              <w:top w:val="nil"/>
              <w:left w:val="single" w:color="000000"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1984</w:t>
            </w:r>
          </w:p>
        </w:tc>
        <w:tc>
          <w:tcPr>
            <w:tcW w:w="1406" w:type="dxa"/>
            <w:tcBorders>
              <w:top w:val="nil"/>
              <w:left w:val="single" w:color="auto"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100kVA</w:t>
            </w:r>
          </w:p>
        </w:tc>
        <w:tc>
          <w:tcPr>
            <w:tcW w:w="1359" w:type="dxa"/>
            <w:tcBorders>
              <w:top w:val="nil"/>
              <w:left w:val="single" w:color="auto"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w:t>
            </w:r>
          </w:p>
        </w:tc>
        <w:tc>
          <w:tcPr>
            <w:tcW w:w="3508" w:type="dxa"/>
            <w:tcBorders>
              <w:top w:val="nil"/>
              <w:left w:val="single" w:color="000000" w:sz="4" w:space="0"/>
              <w:bottom w:val="single" w:color="000000" w:sz="4" w:space="0"/>
              <w:right w:val="single" w:color="000000" w:sz="4" w:space="0"/>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Punct de aprindere in cutia de distributie a PTA</w:t>
            </w:r>
          </w:p>
        </w:tc>
      </w:tr>
      <w:tr>
        <w:tblPrEx>
          <w:tblCellMar>
            <w:top w:w="55" w:type="dxa"/>
            <w:left w:w="55" w:type="dxa"/>
            <w:bottom w:w="55" w:type="dxa"/>
            <w:right w:w="55" w:type="dxa"/>
          </w:tblCellMar>
        </w:tblPrEx>
        <w:trPr>
          <w:wBefore w:w="0" w:type="dxa"/>
        </w:trPr>
        <w:tc>
          <w:tcPr>
            <w:tcW w:w="560"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10.</w:t>
            </w:r>
          </w:p>
        </w:tc>
        <w:tc>
          <w:tcPr>
            <w:tcW w:w="2247"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PTA 3 Arghira</w:t>
            </w:r>
          </w:p>
        </w:tc>
        <w:tc>
          <w:tcPr>
            <w:tcW w:w="985" w:type="dxa"/>
            <w:tcBorders>
              <w:top w:val="nil"/>
              <w:left w:val="single" w:color="000000"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1984</w:t>
            </w:r>
          </w:p>
        </w:tc>
        <w:tc>
          <w:tcPr>
            <w:tcW w:w="1406" w:type="dxa"/>
            <w:tcBorders>
              <w:top w:val="nil"/>
              <w:left w:val="single" w:color="auto"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100kVA</w:t>
            </w:r>
          </w:p>
        </w:tc>
        <w:tc>
          <w:tcPr>
            <w:tcW w:w="1359" w:type="dxa"/>
            <w:tcBorders>
              <w:top w:val="nil"/>
              <w:left w:val="single" w:color="auto"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w:t>
            </w:r>
          </w:p>
        </w:tc>
        <w:tc>
          <w:tcPr>
            <w:tcW w:w="3508" w:type="dxa"/>
            <w:tcBorders>
              <w:top w:val="nil"/>
              <w:left w:val="single" w:color="000000" w:sz="4" w:space="0"/>
              <w:bottom w:val="single" w:color="000000" w:sz="4" w:space="0"/>
              <w:right w:val="single" w:color="000000" w:sz="4" w:space="0"/>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Punct de aprindere in cutia de distributie a PTA</w:t>
            </w:r>
          </w:p>
        </w:tc>
      </w:tr>
      <w:tr>
        <w:tblPrEx>
          <w:tblCellMar>
            <w:top w:w="55" w:type="dxa"/>
            <w:left w:w="55" w:type="dxa"/>
            <w:bottom w:w="55" w:type="dxa"/>
            <w:right w:w="55" w:type="dxa"/>
          </w:tblCellMar>
        </w:tblPrEx>
        <w:trPr>
          <w:wBefore w:w="0" w:type="dxa"/>
        </w:trPr>
        <w:tc>
          <w:tcPr>
            <w:tcW w:w="560"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11.</w:t>
            </w:r>
          </w:p>
        </w:tc>
        <w:tc>
          <w:tcPr>
            <w:tcW w:w="2247"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 PTA 1 Bahna Arin </w:t>
            </w:r>
          </w:p>
        </w:tc>
        <w:tc>
          <w:tcPr>
            <w:tcW w:w="985" w:type="dxa"/>
            <w:tcBorders>
              <w:top w:val="nil"/>
              <w:left w:val="single" w:color="000000"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2001</w:t>
            </w:r>
          </w:p>
        </w:tc>
        <w:tc>
          <w:tcPr>
            <w:tcW w:w="1406" w:type="dxa"/>
            <w:tcBorders>
              <w:top w:val="nil"/>
              <w:left w:val="single" w:color="auto"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50 kVA</w:t>
            </w:r>
          </w:p>
        </w:tc>
        <w:tc>
          <w:tcPr>
            <w:tcW w:w="1359" w:type="dxa"/>
            <w:tcBorders>
              <w:top w:val="nil"/>
              <w:left w:val="single" w:color="auto"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w:t>
            </w:r>
          </w:p>
        </w:tc>
        <w:tc>
          <w:tcPr>
            <w:tcW w:w="3508" w:type="dxa"/>
            <w:tcBorders>
              <w:top w:val="nil"/>
              <w:left w:val="single" w:color="000000" w:sz="4" w:space="0"/>
              <w:bottom w:val="single" w:color="000000" w:sz="4" w:space="0"/>
              <w:right w:val="single" w:color="000000" w:sz="4" w:space="0"/>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Punct de aprindere in cutia de distributie a PTA</w:t>
            </w:r>
          </w:p>
        </w:tc>
      </w:tr>
      <w:tr>
        <w:tblPrEx>
          <w:tblCellMar>
            <w:top w:w="55" w:type="dxa"/>
            <w:left w:w="55" w:type="dxa"/>
            <w:bottom w:w="55" w:type="dxa"/>
            <w:right w:w="55" w:type="dxa"/>
          </w:tblCellMar>
        </w:tblPrEx>
        <w:trPr>
          <w:wBefore w:w="0" w:type="dxa"/>
        </w:trPr>
        <w:tc>
          <w:tcPr>
            <w:tcW w:w="560"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12.</w:t>
            </w:r>
          </w:p>
        </w:tc>
        <w:tc>
          <w:tcPr>
            <w:tcW w:w="2247"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PTA 1 Basarabi</w:t>
            </w:r>
          </w:p>
        </w:tc>
        <w:tc>
          <w:tcPr>
            <w:tcW w:w="985" w:type="dxa"/>
            <w:tcBorders>
              <w:top w:val="nil"/>
              <w:left w:val="single" w:color="000000"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1963</w:t>
            </w:r>
          </w:p>
        </w:tc>
        <w:tc>
          <w:tcPr>
            <w:tcW w:w="1406" w:type="dxa"/>
            <w:tcBorders>
              <w:top w:val="nil"/>
              <w:left w:val="single" w:color="auto"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250 kVA</w:t>
            </w:r>
          </w:p>
        </w:tc>
        <w:tc>
          <w:tcPr>
            <w:tcW w:w="1359" w:type="dxa"/>
            <w:tcBorders>
              <w:top w:val="nil"/>
              <w:left w:val="single" w:color="auto"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55 kVA</w:t>
            </w:r>
          </w:p>
        </w:tc>
        <w:tc>
          <w:tcPr>
            <w:tcW w:w="3508" w:type="dxa"/>
            <w:tcBorders>
              <w:top w:val="nil"/>
              <w:left w:val="single" w:color="000000" w:sz="4" w:space="0"/>
              <w:bottom w:val="single" w:color="000000" w:sz="4" w:space="0"/>
              <w:right w:val="single" w:color="000000" w:sz="4" w:space="0"/>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Punct de aprindere in cutia de distributie a PTA</w:t>
            </w:r>
          </w:p>
        </w:tc>
      </w:tr>
      <w:tr>
        <w:tblPrEx>
          <w:tblCellMar>
            <w:top w:w="55" w:type="dxa"/>
            <w:left w:w="55" w:type="dxa"/>
            <w:bottom w:w="55" w:type="dxa"/>
            <w:right w:w="55" w:type="dxa"/>
          </w:tblCellMar>
        </w:tblPrEx>
        <w:trPr>
          <w:wBefore w:w="0" w:type="dxa"/>
        </w:trPr>
        <w:tc>
          <w:tcPr>
            <w:tcW w:w="560"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13.</w:t>
            </w:r>
          </w:p>
        </w:tc>
        <w:tc>
          <w:tcPr>
            <w:tcW w:w="2247"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PTA 2 Basarabi</w:t>
            </w:r>
          </w:p>
        </w:tc>
        <w:tc>
          <w:tcPr>
            <w:tcW w:w="985" w:type="dxa"/>
            <w:tcBorders>
              <w:top w:val="nil"/>
              <w:left w:val="single" w:color="000000"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1983</w:t>
            </w:r>
          </w:p>
        </w:tc>
        <w:tc>
          <w:tcPr>
            <w:tcW w:w="1406" w:type="dxa"/>
            <w:tcBorders>
              <w:top w:val="nil"/>
              <w:left w:val="single" w:color="000000"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63 kVA</w:t>
            </w:r>
          </w:p>
        </w:tc>
        <w:tc>
          <w:tcPr>
            <w:tcW w:w="1359" w:type="dxa"/>
            <w:tcBorders>
              <w:top w:val="nil"/>
              <w:left w:val="single" w:color="000000"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w:t>
            </w:r>
          </w:p>
        </w:tc>
        <w:tc>
          <w:tcPr>
            <w:tcW w:w="3508" w:type="dxa"/>
            <w:tcBorders>
              <w:top w:val="nil"/>
              <w:left w:val="single" w:color="auto" w:sz="4" w:space="0"/>
              <w:bottom w:val="single" w:color="000000" w:sz="4" w:space="0"/>
              <w:right w:val="single" w:color="000000" w:sz="4" w:space="0"/>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Punct de aprindere separat pe stilpul Delgaz grid</w:t>
            </w:r>
          </w:p>
        </w:tc>
      </w:tr>
      <w:tr>
        <w:tblPrEx>
          <w:tblCellMar>
            <w:top w:w="55" w:type="dxa"/>
            <w:left w:w="55" w:type="dxa"/>
            <w:bottom w:w="55" w:type="dxa"/>
            <w:right w:w="55" w:type="dxa"/>
          </w:tblCellMar>
        </w:tblPrEx>
        <w:trPr>
          <w:wBefore w:w="0" w:type="dxa"/>
        </w:trPr>
        <w:tc>
          <w:tcPr>
            <w:tcW w:w="560"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14.</w:t>
            </w:r>
          </w:p>
        </w:tc>
        <w:tc>
          <w:tcPr>
            <w:tcW w:w="2247"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PTA 1 Gloduri (Basarabi)</w:t>
            </w:r>
          </w:p>
        </w:tc>
        <w:tc>
          <w:tcPr>
            <w:tcW w:w="985" w:type="dxa"/>
            <w:tcBorders>
              <w:top w:val="nil"/>
              <w:left w:val="single" w:color="000000"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1983</w:t>
            </w:r>
          </w:p>
        </w:tc>
        <w:tc>
          <w:tcPr>
            <w:tcW w:w="1406" w:type="dxa"/>
            <w:tcBorders>
              <w:top w:val="nil"/>
              <w:left w:val="single" w:color="auto"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100 kVA</w:t>
            </w:r>
          </w:p>
        </w:tc>
        <w:tc>
          <w:tcPr>
            <w:tcW w:w="1359" w:type="dxa"/>
            <w:tcBorders>
              <w:top w:val="nil"/>
              <w:left w:val="single" w:color="auto"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w:t>
            </w:r>
          </w:p>
        </w:tc>
        <w:tc>
          <w:tcPr>
            <w:tcW w:w="3508" w:type="dxa"/>
            <w:tcBorders>
              <w:top w:val="nil"/>
              <w:left w:val="single" w:color="auto" w:sz="4" w:space="0"/>
              <w:bottom w:val="single" w:color="000000" w:sz="4" w:space="0"/>
              <w:right w:val="single" w:color="000000" w:sz="4" w:space="0"/>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Punct de aprindere in cutia de distributie a PTA</w:t>
            </w:r>
          </w:p>
        </w:tc>
      </w:tr>
      <w:tr>
        <w:tblPrEx>
          <w:tblCellMar>
            <w:top w:w="55" w:type="dxa"/>
            <w:left w:w="55" w:type="dxa"/>
            <w:bottom w:w="55" w:type="dxa"/>
            <w:right w:w="55" w:type="dxa"/>
          </w:tblCellMar>
        </w:tblPrEx>
        <w:trPr>
          <w:wBefore w:w="0" w:type="dxa"/>
        </w:trPr>
        <w:tc>
          <w:tcPr>
            <w:tcW w:w="560"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15.</w:t>
            </w:r>
          </w:p>
        </w:tc>
        <w:tc>
          <w:tcPr>
            <w:tcW w:w="2247"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PTA1 Husi </w:t>
            </w:r>
          </w:p>
        </w:tc>
        <w:tc>
          <w:tcPr>
            <w:tcW w:w="985" w:type="dxa"/>
            <w:tcBorders>
              <w:top w:val="nil"/>
              <w:left w:val="single" w:color="000000"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1975</w:t>
            </w:r>
          </w:p>
        </w:tc>
        <w:tc>
          <w:tcPr>
            <w:tcW w:w="1406" w:type="dxa"/>
            <w:tcBorders>
              <w:top w:val="nil"/>
              <w:left w:val="single" w:color="auto"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100 kVA</w:t>
            </w:r>
          </w:p>
        </w:tc>
        <w:tc>
          <w:tcPr>
            <w:tcW w:w="1359" w:type="dxa"/>
            <w:tcBorders>
              <w:top w:val="nil"/>
              <w:left w:val="single" w:color="auto"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w:t>
            </w:r>
          </w:p>
        </w:tc>
        <w:tc>
          <w:tcPr>
            <w:tcW w:w="3508" w:type="dxa"/>
            <w:tcBorders>
              <w:top w:val="nil"/>
              <w:left w:val="single" w:color="000000" w:sz="4" w:space="0"/>
              <w:bottom w:val="single" w:color="000000" w:sz="4" w:space="0"/>
              <w:right w:val="single" w:color="000000" w:sz="4" w:space="0"/>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Punct de aprindere in cutia de distributie a PTA</w:t>
            </w:r>
          </w:p>
        </w:tc>
      </w:tr>
      <w:tr>
        <w:tblPrEx>
          <w:tblCellMar>
            <w:top w:w="55" w:type="dxa"/>
            <w:left w:w="55" w:type="dxa"/>
            <w:bottom w:w="55" w:type="dxa"/>
            <w:right w:w="55" w:type="dxa"/>
          </w:tblCellMar>
        </w:tblPrEx>
        <w:trPr>
          <w:wBefore w:w="0" w:type="dxa"/>
        </w:trPr>
        <w:tc>
          <w:tcPr>
            <w:tcW w:w="560"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16.</w:t>
            </w:r>
          </w:p>
        </w:tc>
        <w:tc>
          <w:tcPr>
            <w:tcW w:w="2247"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PTA 1 Leucusesti </w:t>
            </w:r>
          </w:p>
        </w:tc>
        <w:tc>
          <w:tcPr>
            <w:tcW w:w="985" w:type="dxa"/>
            <w:tcBorders>
              <w:top w:val="nil"/>
              <w:left w:val="single" w:color="000000"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1983</w:t>
            </w:r>
          </w:p>
        </w:tc>
        <w:tc>
          <w:tcPr>
            <w:tcW w:w="1406" w:type="dxa"/>
            <w:tcBorders>
              <w:top w:val="nil"/>
              <w:left w:val="single" w:color="auto"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150 kVA</w:t>
            </w:r>
          </w:p>
        </w:tc>
        <w:tc>
          <w:tcPr>
            <w:tcW w:w="1359" w:type="dxa"/>
            <w:tcBorders>
              <w:top w:val="nil"/>
              <w:left w:val="single" w:color="auto"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25 kVA</w:t>
            </w:r>
          </w:p>
        </w:tc>
        <w:tc>
          <w:tcPr>
            <w:tcW w:w="3508" w:type="dxa"/>
            <w:tcBorders>
              <w:top w:val="nil"/>
              <w:left w:val="single" w:color="000000" w:sz="4" w:space="0"/>
              <w:bottom w:val="single" w:color="000000" w:sz="4" w:space="0"/>
              <w:right w:val="single" w:color="000000" w:sz="4" w:space="0"/>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Punct de aprindere in cutia de distributie a PTA</w:t>
            </w:r>
          </w:p>
        </w:tc>
      </w:tr>
      <w:tr>
        <w:tblPrEx>
          <w:tblCellMar>
            <w:top w:w="55" w:type="dxa"/>
            <w:left w:w="55" w:type="dxa"/>
            <w:bottom w:w="55" w:type="dxa"/>
            <w:right w:w="55" w:type="dxa"/>
          </w:tblCellMar>
        </w:tblPrEx>
        <w:trPr>
          <w:wBefore w:w="0" w:type="dxa"/>
        </w:trPr>
        <w:tc>
          <w:tcPr>
            <w:tcW w:w="560"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17.</w:t>
            </w:r>
          </w:p>
        </w:tc>
        <w:tc>
          <w:tcPr>
            <w:tcW w:w="2247"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PTA 2 Leucusesti</w:t>
            </w:r>
          </w:p>
        </w:tc>
        <w:tc>
          <w:tcPr>
            <w:tcW w:w="985" w:type="dxa"/>
            <w:tcBorders>
              <w:top w:val="nil"/>
              <w:left w:val="single" w:color="000000"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1983</w:t>
            </w:r>
          </w:p>
        </w:tc>
        <w:tc>
          <w:tcPr>
            <w:tcW w:w="1406" w:type="dxa"/>
            <w:tcBorders>
              <w:top w:val="nil"/>
              <w:left w:val="single" w:color="auto"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63 kVA</w:t>
            </w:r>
          </w:p>
        </w:tc>
        <w:tc>
          <w:tcPr>
            <w:tcW w:w="1359" w:type="dxa"/>
            <w:tcBorders>
              <w:top w:val="nil"/>
              <w:left w:val="single" w:color="auto"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w:t>
            </w:r>
          </w:p>
        </w:tc>
        <w:tc>
          <w:tcPr>
            <w:tcW w:w="3508" w:type="dxa"/>
            <w:tcBorders>
              <w:top w:val="nil"/>
              <w:left w:val="single" w:color="000000" w:sz="4" w:space="0"/>
              <w:bottom w:val="single" w:color="000000" w:sz="4" w:space="0"/>
              <w:right w:val="single" w:color="000000" w:sz="4" w:space="0"/>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Punct de aprindere in cutia de distributie a PTA</w:t>
            </w:r>
          </w:p>
        </w:tc>
      </w:tr>
      <w:tr>
        <w:tblPrEx>
          <w:tblCellMar>
            <w:top w:w="55" w:type="dxa"/>
            <w:left w:w="55" w:type="dxa"/>
            <w:bottom w:w="55" w:type="dxa"/>
            <w:right w:w="55" w:type="dxa"/>
          </w:tblCellMar>
        </w:tblPrEx>
        <w:trPr>
          <w:wBefore w:w="0" w:type="dxa"/>
        </w:trPr>
        <w:tc>
          <w:tcPr>
            <w:tcW w:w="560"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18.</w:t>
            </w:r>
          </w:p>
        </w:tc>
        <w:tc>
          <w:tcPr>
            <w:tcW w:w="2247"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PTA 1 Antilesti (Leucusesti)</w:t>
            </w:r>
          </w:p>
        </w:tc>
        <w:tc>
          <w:tcPr>
            <w:tcW w:w="985"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1983</w:t>
            </w:r>
          </w:p>
        </w:tc>
        <w:tc>
          <w:tcPr>
            <w:tcW w:w="140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63 kVA</w:t>
            </w:r>
          </w:p>
        </w:tc>
        <w:tc>
          <w:tcPr>
            <w:tcW w:w="1359"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w:t>
            </w:r>
          </w:p>
        </w:tc>
        <w:tc>
          <w:tcPr>
            <w:tcW w:w="3508" w:type="dxa"/>
            <w:tcBorders>
              <w:top w:val="nil"/>
              <w:left w:val="single" w:color="000000" w:sz="4" w:space="0"/>
              <w:bottom w:val="single" w:color="000000" w:sz="4" w:space="0"/>
              <w:right w:val="single" w:color="000000" w:sz="4" w:space="0"/>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Punct de aprindere in cutia de distributie a PTA</w:t>
            </w:r>
          </w:p>
        </w:tc>
      </w:tr>
      <w:tr>
        <w:tblPrEx>
          <w:tblCellMar>
            <w:top w:w="55" w:type="dxa"/>
            <w:left w:w="55" w:type="dxa"/>
            <w:bottom w:w="55" w:type="dxa"/>
            <w:right w:w="55" w:type="dxa"/>
          </w:tblCellMar>
        </w:tblPrEx>
        <w:trPr>
          <w:wBefore w:w="0" w:type="dxa"/>
        </w:trPr>
        <w:tc>
          <w:tcPr>
            <w:tcW w:w="560"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w:t>
            </w:r>
          </w:p>
        </w:tc>
        <w:tc>
          <w:tcPr>
            <w:tcW w:w="2247"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PTA 1 Ciorsani (Leucusesti)</w:t>
            </w:r>
          </w:p>
        </w:tc>
        <w:tc>
          <w:tcPr>
            <w:tcW w:w="985"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1980</w:t>
            </w:r>
          </w:p>
        </w:tc>
        <w:tc>
          <w:tcPr>
            <w:tcW w:w="140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63kVA</w:t>
            </w:r>
          </w:p>
        </w:tc>
        <w:tc>
          <w:tcPr>
            <w:tcW w:w="1359"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w:t>
            </w:r>
          </w:p>
        </w:tc>
        <w:tc>
          <w:tcPr>
            <w:tcW w:w="3508" w:type="dxa"/>
            <w:tcBorders>
              <w:top w:val="nil"/>
              <w:left w:val="single" w:color="000000" w:sz="4" w:space="0"/>
              <w:bottom w:val="single" w:color="000000" w:sz="4" w:space="0"/>
              <w:right w:val="single" w:color="000000" w:sz="4" w:space="0"/>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Punct de aprindere separat pe stilpul Delgaz grid</w:t>
            </w:r>
          </w:p>
        </w:tc>
      </w:tr>
    </w:tbl>
    <w:p>
      <w:pPr>
        <w:pStyle w:val="9"/>
        <w:ind w:left="75" w:right="-180"/>
        <w:jc w:val="both"/>
        <w:rPr>
          <w:sz w:val="28"/>
          <w:szCs w:val="28"/>
        </w:rPr>
      </w:pPr>
    </w:p>
    <w:p>
      <w:pPr>
        <w:pStyle w:val="9"/>
        <w:spacing w:after="0"/>
        <w:ind w:right="-180"/>
        <w:jc w:val="both"/>
        <w:rPr>
          <w:sz w:val="28"/>
          <w:szCs w:val="28"/>
        </w:rPr>
      </w:pPr>
      <w:r>
        <w:rPr>
          <w:sz w:val="28"/>
          <w:szCs w:val="28"/>
        </w:rPr>
        <w:t xml:space="preserve">Din posturile de transformare comunale, se observa ca puterea disponibila este foarte mica. Acest lucru va conduce la efectuarea unor investitii, în cazul în care se vor efectua extinderi. </w:t>
      </w:r>
    </w:p>
    <w:p>
      <w:pPr>
        <w:pStyle w:val="9"/>
        <w:spacing w:after="0"/>
        <w:ind w:right="-180"/>
        <w:jc w:val="both"/>
        <w:rPr>
          <w:sz w:val="28"/>
          <w:szCs w:val="28"/>
        </w:rPr>
      </w:pPr>
      <w:r>
        <w:rPr>
          <w:sz w:val="28"/>
          <w:szCs w:val="28"/>
        </w:rPr>
        <w:t>De altfel, din configuratia retelei de distributie a energiei electrice, se observa ca nu s-au efectuat lucrari de mult timp.</w:t>
      </w:r>
    </w:p>
    <w:p>
      <w:pPr>
        <w:pStyle w:val="9"/>
        <w:spacing w:after="0"/>
        <w:ind w:right="-180"/>
        <w:jc w:val="both"/>
        <w:rPr>
          <w:sz w:val="28"/>
          <w:szCs w:val="28"/>
        </w:rPr>
      </w:pPr>
      <w:r>
        <w:rPr>
          <w:sz w:val="28"/>
          <w:szCs w:val="28"/>
        </w:rPr>
        <w:t>Agentii economici, care isi desfasoara activitatea pe raza comunei Preutesti, in general, sunt alimentati cu energie electrica din posturi de transformare proprii.</w:t>
      </w:r>
    </w:p>
    <w:p>
      <w:pPr>
        <w:pStyle w:val="9"/>
        <w:ind w:right="-180"/>
        <w:jc w:val="both"/>
        <w:rPr>
          <w:b/>
          <w:bCs/>
          <w:sz w:val="28"/>
          <w:szCs w:val="28"/>
        </w:rPr>
      </w:pPr>
    </w:p>
    <w:p>
      <w:pPr>
        <w:pStyle w:val="9"/>
        <w:ind w:right="-180"/>
        <w:jc w:val="both"/>
        <w:rPr>
          <w:bCs/>
          <w:sz w:val="28"/>
          <w:szCs w:val="28"/>
        </w:rPr>
      </w:pPr>
      <w:r>
        <w:rPr>
          <w:b/>
          <w:bCs/>
          <w:sz w:val="28"/>
          <w:szCs w:val="28"/>
        </w:rPr>
        <w:t>Art.11</w:t>
      </w:r>
      <w:r>
        <w:rPr>
          <w:sz w:val="28"/>
          <w:szCs w:val="28"/>
        </w:rPr>
        <w:t xml:space="preserve"> </w:t>
      </w:r>
      <w:r>
        <w:rPr>
          <w:bCs/>
          <w:sz w:val="28"/>
          <w:szCs w:val="28"/>
        </w:rPr>
        <w:t>Reteaua de iluminat public se prezinta astfel:</w:t>
      </w:r>
    </w:p>
    <w:tbl>
      <w:tblPr>
        <w:tblStyle w:val="7"/>
        <w:tblW w:w="0" w:type="auto"/>
        <w:tblInd w:w="-73" w:type="dxa"/>
        <w:tblLayout w:type="fixed"/>
        <w:tblCellMar>
          <w:top w:w="55" w:type="dxa"/>
          <w:left w:w="55" w:type="dxa"/>
          <w:bottom w:w="55" w:type="dxa"/>
          <w:right w:w="55" w:type="dxa"/>
        </w:tblCellMar>
      </w:tblPr>
      <w:tblGrid>
        <w:gridCol w:w="705"/>
        <w:gridCol w:w="2483"/>
        <w:gridCol w:w="1051"/>
        <w:gridCol w:w="2126"/>
        <w:gridCol w:w="996"/>
        <w:gridCol w:w="1275"/>
        <w:gridCol w:w="1162"/>
      </w:tblGrid>
      <w:tr>
        <w:tblPrEx>
          <w:tblCellMar>
            <w:top w:w="55" w:type="dxa"/>
            <w:left w:w="55" w:type="dxa"/>
            <w:bottom w:w="55" w:type="dxa"/>
            <w:right w:w="55" w:type="dxa"/>
          </w:tblCellMar>
        </w:tblPrEx>
        <w:trPr>
          <w:wBefore w:w="0" w:type="dxa"/>
          <w:trHeight w:val="765" w:hRule="atLeast"/>
        </w:trPr>
        <w:tc>
          <w:tcPr>
            <w:tcW w:w="705" w:type="dxa"/>
            <w:tcBorders>
              <w:top w:val="single" w:color="000000" w:sz="4" w:space="0"/>
              <w:left w:val="single" w:color="000000" w:sz="4" w:space="0"/>
              <w:bottom w:val="single" w:color="000000" w:sz="4" w:space="0"/>
              <w:right w:val="nil"/>
            </w:tcBorders>
            <w:noWrap w:val="0"/>
            <w:vAlign w:val="top"/>
          </w:tcPr>
          <w:p>
            <w:pPr>
              <w:spacing w:after="120" w:line="240" w:lineRule="auto"/>
              <w:ind w:right="-180"/>
              <w:jc w:val="center"/>
              <w:rPr>
                <w:rFonts w:ascii="Times New Roman" w:hAnsi="Times New Roman" w:eastAsia="Times New Roman" w:cs="Times New Roman"/>
                <w:sz w:val="28"/>
                <w:szCs w:val="28"/>
              </w:rPr>
            </w:pPr>
            <w:bookmarkStart w:id="3" w:name="_Hlk90312382"/>
            <w:r>
              <w:rPr>
                <w:rFonts w:ascii="Times New Roman" w:hAnsi="Times New Roman" w:eastAsia="Times New Roman" w:cs="Times New Roman"/>
                <w:sz w:val="28"/>
                <w:szCs w:val="28"/>
              </w:rPr>
              <w:t>Nr.</w:t>
            </w:r>
          </w:p>
          <w:p>
            <w:pPr>
              <w:spacing w:after="120" w:line="240" w:lineRule="auto"/>
              <w:ind w:right="-180"/>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crt</w:t>
            </w:r>
          </w:p>
        </w:tc>
        <w:tc>
          <w:tcPr>
            <w:tcW w:w="2483" w:type="dxa"/>
            <w:tcBorders>
              <w:top w:val="single" w:color="000000" w:sz="4" w:space="0"/>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Locația tronsonului</w:t>
            </w:r>
          </w:p>
        </w:tc>
        <w:tc>
          <w:tcPr>
            <w:tcW w:w="1051" w:type="dxa"/>
            <w:tcBorders>
              <w:top w:val="single" w:color="000000" w:sz="4" w:space="0"/>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Aerian/</w:t>
            </w:r>
          </w:p>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subteran</w:t>
            </w:r>
          </w:p>
        </w:tc>
        <w:tc>
          <w:tcPr>
            <w:tcW w:w="2126" w:type="dxa"/>
            <w:tcBorders>
              <w:top w:val="single" w:color="000000" w:sz="4" w:space="0"/>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Material conductor de iluminat</w:t>
            </w:r>
          </w:p>
        </w:tc>
        <w:tc>
          <w:tcPr>
            <w:tcW w:w="996" w:type="dxa"/>
            <w:tcBorders>
              <w:top w:val="single" w:color="000000" w:sz="4" w:space="0"/>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Ultima revizie</w:t>
            </w:r>
          </w:p>
        </w:tc>
        <w:tc>
          <w:tcPr>
            <w:tcW w:w="1275" w:type="dxa"/>
            <w:tcBorders>
              <w:top w:val="single" w:color="000000" w:sz="4" w:space="0"/>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trifazic/</w:t>
            </w:r>
          </w:p>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monofazic</w:t>
            </w:r>
          </w:p>
        </w:tc>
        <w:tc>
          <w:tcPr>
            <w:tcW w:w="1162" w:type="dxa"/>
            <w:tcBorders>
              <w:top w:val="single" w:color="000000" w:sz="4" w:space="0"/>
              <w:left w:val="single" w:color="000000" w:sz="4" w:space="0"/>
              <w:bottom w:val="single" w:color="000000" w:sz="4" w:space="0"/>
              <w:right w:val="single" w:color="000000"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Lungime </w:t>
            </w:r>
          </w:p>
        </w:tc>
      </w:tr>
      <w:tr>
        <w:tblPrEx>
          <w:tblCellMar>
            <w:top w:w="55" w:type="dxa"/>
            <w:left w:w="55" w:type="dxa"/>
            <w:bottom w:w="55" w:type="dxa"/>
            <w:right w:w="55" w:type="dxa"/>
          </w:tblCellMar>
        </w:tblPrEx>
        <w:trPr>
          <w:wBefore w:w="0" w:type="dxa"/>
        </w:trPr>
        <w:tc>
          <w:tcPr>
            <w:tcW w:w="705" w:type="dxa"/>
            <w:tcBorders>
              <w:top w:val="nil"/>
              <w:left w:val="single" w:color="000000" w:sz="4" w:space="0"/>
              <w:bottom w:val="single" w:color="000000" w:sz="4" w:space="0"/>
              <w:right w:val="nil"/>
            </w:tcBorders>
            <w:noWrap w:val="0"/>
            <w:vAlign w:val="top"/>
          </w:tcPr>
          <w:p>
            <w:pPr>
              <w:spacing w:after="120" w:line="240" w:lineRule="auto"/>
              <w:ind w:right="-180"/>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1.</w:t>
            </w:r>
          </w:p>
        </w:tc>
        <w:tc>
          <w:tcPr>
            <w:tcW w:w="2483"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PTA1 Preutesti  plecarea 1</w:t>
            </w:r>
          </w:p>
        </w:tc>
        <w:tc>
          <w:tcPr>
            <w:tcW w:w="1051"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Aerian</w:t>
            </w:r>
          </w:p>
        </w:tc>
        <w:tc>
          <w:tcPr>
            <w:tcW w:w="212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OL ZN 50</w:t>
            </w:r>
          </w:p>
        </w:tc>
        <w:tc>
          <w:tcPr>
            <w:tcW w:w="99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1997</w:t>
            </w:r>
          </w:p>
        </w:tc>
        <w:tc>
          <w:tcPr>
            <w:tcW w:w="1275"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Trifazic </w:t>
            </w:r>
          </w:p>
        </w:tc>
        <w:tc>
          <w:tcPr>
            <w:tcW w:w="1162" w:type="dxa"/>
            <w:tcBorders>
              <w:top w:val="nil"/>
              <w:left w:val="single" w:color="000000" w:sz="4" w:space="0"/>
              <w:bottom w:val="single" w:color="000000" w:sz="4" w:space="0"/>
              <w:right w:val="single" w:color="000000"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1,43 km</w:t>
            </w:r>
          </w:p>
        </w:tc>
      </w:tr>
      <w:tr>
        <w:tblPrEx>
          <w:tblCellMar>
            <w:top w:w="55" w:type="dxa"/>
            <w:left w:w="55" w:type="dxa"/>
            <w:bottom w:w="55" w:type="dxa"/>
            <w:right w:w="55" w:type="dxa"/>
          </w:tblCellMar>
        </w:tblPrEx>
        <w:trPr>
          <w:wBefore w:w="0" w:type="dxa"/>
        </w:trPr>
        <w:tc>
          <w:tcPr>
            <w:tcW w:w="705" w:type="dxa"/>
            <w:tcBorders>
              <w:top w:val="nil"/>
              <w:left w:val="single" w:color="000000" w:sz="4" w:space="0"/>
              <w:bottom w:val="single" w:color="000000" w:sz="4" w:space="0"/>
              <w:right w:val="nil"/>
            </w:tcBorders>
            <w:noWrap w:val="0"/>
            <w:vAlign w:val="top"/>
          </w:tcPr>
          <w:p>
            <w:pPr>
              <w:spacing w:after="120" w:line="240" w:lineRule="auto"/>
              <w:ind w:right="-180"/>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2.</w:t>
            </w:r>
          </w:p>
        </w:tc>
        <w:tc>
          <w:tcPr>
            <w:tcW w:w="2483"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PTA1 Preutesti     plecarea 2</w:t>
            </w:r>
          </w:p>
        </w:tc>
        <w:tc>
          <w:tcPr>
            <w:tcW w:w="1051"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Aerian</w:t>
            </w:r>
          </w:p>
        </w:tc>
        <w:tc>
          <w:tcPr>
            <w:tcW w:w="212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TYIR</w:t>
            </w:r>
          </w:p>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3x95+50+16</w:t>
            </w:r>
          </w:p>
        </w:tc>
        <w:tc>
          <w:tcPr>
            <w:tcW w:w="996" w:type="dxa"/>
            <w:tcBorders>
              <w:top w:val="nil"/>
              <w:left w:val="single" w:color="000000"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1997</w:t>
            </w:r>
          </w:p>
        </w:tc>
        <w:tc>
          <w:tcPr>
            <w:tcW w:w="1275" w:type="dxa"/>
            <w:tcBorders>
              <w:top w:val="nil"/>
              <w:left w:val="single" w:color="auto"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Trifazic</w:t>
            </w:r>
          </w:p>
        </w:tc>
        <w:tc>
          <w:tcPr>
            <w:tcW w:w="1162" w:type="dxa"/>
            <w:tcBorders>
              <w:top w:val="nil"/>
              <w:left w:val="single" w:color="auto" w:sz="4" w:space="0"/>
              <w:bottom w:val="single" w:color="000000" w:sz="4" w:space="0"/>
              <w:right w:val="single" w:color="000000"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0,87km</w:t>
            </w:r>
          </w:p>
        </w:tc>
      </w:tr>
      <w:tr>
        <w:tblPrEx>
          <w:tblCellMar>
            <w:top w:w="55" w:type="dxa"/>
            <w:left w:w="55" w:type="dxa"/>
            <w:bottom w:w="55" w:type="dxa"/>
            <w:right w:w="55" w:type="dxa"/>
          </w:tblCellMar>
        </w:tblPrEx>
        <w:trPr>
          <w:wBefore w:w="0" w:type="dxa"/>
        </w:trPr>
        <w:tc>
          <w:tcPr>
            <w:tcW w:w="705" w:type="dxa"/>
            <w:tcBorders>
              <w:top w:val="nil"/>
              <w:left w:val="single" w:color="000000" w:sz="4" w:space="0"/>
              <w:bottom w:val="single" w:color="000000" w:sz="4" w:space="0"/>
              <w:right w:val="nil"/>
            </w:tcBorders>
            <w:noWrap w:val="0"/>
            <w:vAlign w:val="top"/>
          </w:tcPr>
          <w:p>
            <w:pPr>
              <w:spacing w:after="120" w:line="240" w:lineRule="auto"/>
              <w:ind w:right="-180"/>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3.</w:t>
            </w:r>
          </w:p>
        </w:tc>
        <w:tc>
          <w:tcPr>
            <w:tcW w:w="2483"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PTA2 Preutesti    plecarea 1</w:t>
            </w:r>
          </w:p>
        </w:tc>
        <w:tc>
          <w:tcPr>
            <w:tcW w:w="1051"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Aerian </w:t>
            </w:r>
          </w:p>
        </w:tc>
        <w:tc>
          <w:tcPr>
            <w:tcW w:w="2126" w:type="dxa"/>
            <w:tcBorders>
              <w:top w:val="nil"/>
              <w:left w:val="single" w:color="000000"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TYIR</w:t>
            </w:r>
          </w:p>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3x95+50+16</w:t>
            </w:r>
          </w:p>
        </w:tc>
        <w:tc>
          <w:tcPr>
            <w:tcW w:w="996" w:type="dxa"/>
            <w:tcBorders>
              <w:top w:val="nil"/>
              <w:left w:val="single" w:color="auto"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1997</w:t>
            </w:r>
          </w:p>
        </w:tc>
        <w:tc>
          <w:tcPr>
            <w:tcW w:w="1275" w:type="dxa"/>
            <w:tcBorders>
              <w:top w:val="nil"/>
              <w:left w:val="single" w:color="auto"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Trifazic </w:t>
            </w:r>
          </w:p>
        </w:tc>
        <w:tc>
          <w:tcPr>
            <w:tcW w:w="1162" w:type="dxa"/>
            <w:tcBorders>
              <w:top w:val="nil"/>
              <w:left w:val="single" w:color="auto" w:sz="4" w:space="0"/>
              <w:bottom w:val="single" w:color="000000" w:sz="4" w:space="0"/>
              <w:right w:val="single" w:color="000000"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1,08 km</w:t>
            </w:r>
          </w:p>
        </w:tc>
      </w:tr>
      <w:tr>
        <w:tblPrEx>
          <w:tblCellMar>
            <w:top w:w="55" w:type="dxa"/>
            <w:left w:w="55" w:type="dxa"/>
            <w:bottom w:w="55" w:type="dxa"/>
            <w:right w:w="55" w:type="dxa"/>
          </w:tblCellMar>
        </w:tblPrEx>
        <w:trPr>
          <w:wBefore w:w="0" w:type="dxa"/>
        </w:trPr>
        <w:tc>
          <w:tcPr>
            <w:tcW w:w="705" w:type="dxa"/>
            <w:tcBorders>
              <w:top w:val="nil"/>
              <w:left w:val="single" w:color="000000" w:sz="4" w:space="0"/>
              <w:bottom w:val="single" w:color="000000" w:sz="4" w:space="0"/>
              <w:right w:val="nil"/>
            </w:tcBorders>
            <w:noWrap w:val="0"/>
            <w:vAlign w:val="top"/>
          </w:tcPr>
          <w:p>
            <w:pPr>
              <w:spacing w:after="120" w:line="240" w:lineRule="auto"/>
              <w:ind w:right="-180"/>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4.</w:t>
            </w:r>
          </w:p>
        </w:tc>
        <w:tc>
          <w:tcPr>
            <w:tcW w:w="2483"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PTA2 Preutesti     plecarea 2</w:t>
            </w:r>
          </w:p>
        </w:tc>
        <w:tc>
          <w:tcPr>
            <w:tcW w:w="1051"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Aerian</w:t>
            </w:r>
          </w:p>
        </w:tc>
        <w:tc>
          <w:tcPr>
            <w:tcW w:w="212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TYIR</w:t>
            </w:r>
          </w:p>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3x95+50+16</w:t>
            </w:r>
          </w:p>
        </w:tc>
        <w:tc>
          <w:tcPr>
            <w:tcW w:w="99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1997</w:t>
            </w:r>
          </w:p>
        </w:tc>
        <w:tc>
          <w:tcPr>
            <w:tcW w:w="1275"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Trifazic</w:t>
            </w:r>
          </w:p>
        </w:tc>
        <w:tc>
          <w:tcPr>
            <w:tcW w:w="1162" w:type="dxa"/>
            <w:tcBorders>
              <w:top w:val="nil"/>
              <w:left w:val="single" w:color="000000" w:sz="4" w:space="0"/>
              <w:bottom w:val="single" w:color="000000" w:sz="4" w:space="0"/>
              <w:right w:val="single" w:color="000000"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 32 km</w:t>
            </w:r>
          </w:p>
        </w:tc>
      </w:tr>
      <w:tr>
        <w:tblPrEx>
          <w:tblCellMar>
            <w:top w:w="55" w:type="dxa"/>
            <w:left w:w="55" w:type="dxa"/>
            <w:bottom w:w="55" w:type="dxa"/>
            <w:right w:w="55" w:type="dxa"/>
          </w:tblCellMar>
        </w:tblPrEx>
        <w:trPr>
          <w:wBefore w:w="0" w:type="dxa"/>
        </w:trPr>
        <w:tc>
          <w:tcPr>
            <w:tcW w:w="705" w:type="dxa"/>
            <w:tcBorders>
              <w:top w:val="nil"/>
              <w:left w:val="single" w:color="000000" w:sz="4" w:space="0"/>
              <w:bottom w:val="single" w:color="000000" w:sz="4" w:space="0"/>
              <w:right w:val="nil"/>
            </w:tcBorders>
            <w:noWrap w:val="0"/>
            <w:vAlign w:val="top"/>
          </w:tcPr>
          <w:p>
            <w:pPr>
              <w:spacing w:after="120" w:line="240" w:lineRule="auto"/>
              <w:ind w:right="-180"/>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5.</w:t>
            </w:r>
          </w:p>
        </w:tc>
        <w:tc>
          <w:tcPr>
            <w:tcW w:w="2483"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PTA3 Preutesti     plecarea 1 </w:t>
            </w:r>
          </w:p>
        </w:tc>
        <w:tc>
          <w:tcPr>
            <w:tcW w:w="1051"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Aerian</w:t>
            </w:r>
          </w:p>
        </w:tc>
        <w:tc>
          <w:tcPr>
            <w:tcW w:w="212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OL ZN 25</w:t>
            </w:r>
          </w:p>
        </w:tc>
        <w:tc>
          <w:tcPr>
            <w:tcW w:w="99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2002</w:t>
            </w:r>
          </w:p>
        </w:tc>
        <w:tc>
          <w:tcPr>
            <w:tcW w:w="1275"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Trifazic</w:t>
            </w:r>
          </w:p>
        </w:tc>
        <w:tc>
          <w:tcPr>
            <w:tcW w:w="1162" w:type="dxa"/>
            <w:tcBorders>
              <w:top w:val="nil"/>
              <w:left w:val="single" w:color="000000" w:sz="4" w:space="0"/>
              <w:bottom w:val="single" w:color="000000" w:sz="4" w:space="0"/>
              <w:right w:val="single" w:color="000000"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1,27 km</w:t>
            </w:r>
          </w:p>
        </w:tc>
      </w:tr>
      <w:tr>
        <w:tblPrEx>
          <w:tblCellMar>
            <w:top w:w="55" w:type="dxa"/>
            <w:left w:w="55" w:type="dxa"/>
            <w:bottom w:w="55" w:type="dxa"/>
            <w:right w:w="55" w:type="dxa"/>
          </w:tblCellMar>
        </w:tblPrEx>
        <w:trPr>
          <w:wBefore w:w="0" w:type="dxa"/>
        </w:trPr>
        <w:tc>
          <w:tcPr>
            <w:tcW w:w="705" w:type="dxa"/>
            <w:tcBorders>
              <w:top w:val="nil"/>
              <w:left w:val="single" w:color="000000" w:sz="4" w:space="0"/>
              <w:bottom w:val="single" w:color="000000" w:sz="4" w:space="0"/>
              <w:right w:val="nil"/>
            </w:tcBorders>
            <w:noWrap w:val="0"/>
            <w:vAlign w:val="top"/>
          </w:tcPr>
          <w:p>
            <w:pPr>
              <w:spacing w:after="120" w:line="240" w:lineRule="auto"/>
              <w:ind w:right="-180"/>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6.</w:t>
            </w:r>
          </w:p>
        </w:tc>
        <w:tc>
          <w:tcPr>
            <w:tcW w:w="2483"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PTA3 Preutesti     plecarea 2 </w:t>
            </w:r>
          </w:p>
        </w:tc>
        <w:tc>
          <w:tcPr>
            <w:tcW w:w="1051"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Aerian</w:t>
            </w:r>
          </w:p>
        </w:tc>
        <w:tc>
          <w:tcPr>
            <w:tcW w:w="212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OL ZN 25</w:t>
            </w:r>
          </w:p>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TYIR</w:t>
            </w:r>
          </w:p>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3x95+50+16</w:t>
            </w:r>
          </w:p>
        </w:tc>
        <w:tc>
          <w:tcPr>
            <w:tcW w:w="99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2002</w:t>
            </w:r>
          </w:p>
        </w:tc>
        <w:tc>
          <w:tcPr>
            <w:tcW w:w="1275"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Trifazic</w:t>
            </w:r>
          </w:p>
        </w:tc>
        <w:tc>
          <w:tcPr>
            <w:tcW w:w="1162" w:type="dxa"/>
            <w:tcBorders>
              <w:top w:val="nil"/>
              <w:left w:val="single" w:color="000000" w:sz="4" w:space="0"/>
              <w:bottom w:val="single" w:color="000000" w:sz="4" w:space="0"/>
              <w:right w:val="single" w:color="000000"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0,91 km</w:t>
            </w:r>
          </w:p>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0,85 km</w:t>
            </w:r>
          </w:p>
        </w:tc>
      </w:tr>
      <w:tr>
        <w:tblPrEx>
          <w:tblCellMar>
            <w:top w:w="55" w:type="dxa"/>
            <w:left w:w="55" w:type="dxa"/>
            <w:bottom w:w="55" w:type="dxa"/>
            <w:right w:w="55" w:type="dxa"/>
          </w:tblCellMar>
        </w:tblPrEx>
        <w:trPr>
          <w:wBefore w:w="0" w:type="dxa"/>
        </w:trPr>
        <w:tc>
          <w:tcPr>
            <w:tcW w:w="705" w:type="dxa"/>
            <w:tcBorders>
              <w:top w:val="nil"/>
              <w:left w:val="single" w:color="000000" w:sz="4" w:space="0"/>
              <w:bottom w:val="single" w:color="000000" w:sz="4" w:space="0"/>
              <w:right w:val="nil"/>
            </w:tcBorders>
            <w:noWrap w:val="0"/>
            <w:vAlign w:val="top"/>
          </w:tcPr>
          <w:p>
            <w:pPr>
              <w:spacing w:after="120" w:line="240" w:lineRule="auto"/>
              <w:ind w:right="-180"/>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7.</w:t>
            </w:r>
          </w:p>
        </w:tc>
        <w:tc>
          <w:tcPr>
            <w:tcW w:w="2483"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PTA4 Preutesti     plecarea 1 </w:t>
            </w:r>
          </w:p>
        </w:tc>
        <w:tc>
          <w:tcPr>
            <w:tcW w:w="1051"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Aerian</w:t>
            </w:r>
          </w:p>
        </w:tc>
        <w:tc>
          <w:tcPr>
            <w:tcW w:w="212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OL ZN 25</w:t>
            </w:r>
          </w:p>
        </w:tc>
        <w:tc>
          <w:tcPr>
            <w:tcW w:w="99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1997</w:t>
            </w:r>
          </w:p>
        </w:tc>
        <w:tc>
          <w:tcPr>
            <w:tcW w:w="1275"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Trifazic</w:t>
            </w:r>
          </w:p>
        </w:tc>
        <w:tc>
          <w:tcPr>
            <w:tcW w:w="1162" w:type="dxa"/>
            <w:tcBorders>
              <w:top w:val="nil"/>
              <w:left w:val="single" w:color="000000" w:sz="4" w:space="0"/>
              <w:bottom w:val="single" w:color="000000" w:sz="4" w:space="0"/>
              <w:right w:val="single" w:color="000000"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0,97 km</w:t>
            </w:r>
          </w:p>
        </w:tc>
      </w:tr>
      <w:tr>
        <w:tblPrEx>
          <w:tblCellMar>
            <w:top w:w="55" w:type="dxa"/>
            <w:left w:w="55" w:type="dxa"/>
            <w:bottom w:w="55" w:type="dxa"/>
            <w:right w:w="55" w:type="dxa"/>
          </w:tblCellMar>
        </w:tblPrEx>
        <w:trPr>
          <w:wBefore w:w="0" w:type="dxa"/>
        </w:trPr>
        <w:tc>
          <w:tcPr>
            <w:tcW w:w="705" w:type="dxa"/>
            <w:tcBorders>
              <w:top w:val="nil"/>
              <w:left w:val="single" w:color="000000" w:sz="4" w:space="0"/>
              <w:bottom w:val="single" w:color="000000" w:sz="4" w:space="0"/>
              <w:right w:val="nil"/>
            </w:tcBorders>
            <w:noWrap w:val="0"/>
            <w:vAlign w:val="top"/>
          </w:tcPr>
          <w:p>
            <w:pPr>
              <w:spacing w:after="120" w:line="240" w:lineRule="auto"/>
              <w:ind w:right="-180"/>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8.</w:t>
            </w:r>
          </w:p>
        </w:tc>
        <w:tc>
          <w:tcPr>
            <w:tcW w:w="2483"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PTA4 Preutesti     plecarea 2 </w:t>
            </w:r>
          </w:p>
        </w:tc>
        <w:tc>
          <w:tcPr>
            <w:tcW w:w="1051"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Aerian</w:t>
            </w:r>
          </w:p>
        </w:tc>
        <w:tc>
          <w:tcPr>
            <w:tcW w:w="212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TYIR 4x50+2x16</w:t>
            </w:r>
          </w:p>
        </w:tc>
        <w:tc>
          <w:tcPr>
            <w:tcW w:w="99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1997</w:t>
            </w:r>
          </w:p>
        </w:tc>
        <w:tc>
          <w:tcPr>
            <w:tcW w:w="1275"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Trifazic</w:t>
            </w:r>
          </w:p>
        </w:tc>
        <w:tc>
          <w:tcPr>
            <w:tcW w:w="1162" w:type="dxa"/>
            <w:tcBorders>
              <w:top w:val="nil"/>
              <w:left w:val="single" w:color="000000" w:sz="4" w:space="0"/>
              <w:bottom w:val="single" w:color="000000" w:sz="4" w:space="0"/>
              <w:right w:val="single" w:color="000000"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1,26 km</w:t>
            </w:r>
          </w:p>
        </w:tc>
      </w:tr>
      <w:tr>
        <w:tblPrEx>
          <w:tblCellMar>
            <w:top w:w="55" w:type="dxa"/>
            <w:left w:w="55" w:type="dxa"/>
            <w:bottom w:w="55" w:type="dxa"/>
            <w:right w:w="55" w:type="dxa"/>
          </w:tblCellMar>
        </w:tblPrEx>
        <w:trPr>
          <w:wBefore w:w="0" w:type="dxa"/>
        </w:trPr>
        <w:tc>
          <w:tcPr>
            <w:tcW w:w="705" w:type="dxa"/>
            <w:tcBorders>
              <w:top w:val="nil"/>
              <w:left w:val="single" w:color="000000" w:sz="4" w:space="0"/>
              <w:bottom w:val="single" w:color="000000" w:sz="4" w:space="0"/>
              <w:right w:val="nil"/>
            </w:tcBorders>
            <w:noWrap w:val="0"/>
            <w:vAlign w:val="top"/>
          </w:tcPr>
          <w:p>
            <w:pPr>
              <w:spacing w:after="120" w:line="240" w:lineRule="auto"/>
              <w:ind w:right="-180"/>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9.</w:t>
            </w:r>
          </w:p>
        </w:tc>
        <w:tc>
          <w:tcPr>
            <w:tcW w:w="2483"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PTA 5 Preutesti     plecarea  1</w:t>
            </w:r>
          </w:p>
        </w:tc>
        <w:tc>
          <w:tcPr>
            <w:tcW w:w="1051"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Aerian</w:t>
            </w:r>
          </w:p>
        </w:tc>
        <w:tc>
          <w:tcPr>
            <w:tcW w:w="212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OL ZN 25</w:t>
            </w:r>
          </w:p>
        </w:tc>
        <w:tc>
          <w:tcPr>
            <w:tcW w:w="99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w:t>
            </w:r>
          </w:p>
        </w:tc>
        <w:tc>
          <w:tcPr>
            <w:tcW w:w="1275"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Trifazic</w:t>
            </w:r>
          </w:p>
        </w:tc>
        <w:tc>
          <w:tcPr>
            <w:tcW w:w="1162" w:type="dxa"/>
            <w:tcBorders>
              <w:top w:val="nil"/>
              <w:left w:val="single" w:color="000000" w:sz="4" w:space="0"/>
              <w:bottom w:val="single" w:color="000000" w:sz="4" w:space="0"/>
              <w:right w:val="single" w:color="000000"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1,07 km</w:t>
            </w:r>
          </w:p>
        </w:tc>
      </w:tr>
      <w:tr>
        <w:tblPrEx>
          <w:tblCellMar>
            <w:top w:w="55" w:type="dxa"/>
            <w:left w:w="55" w:type="dxa"/>
            <w:bottom w:w="55" w:type="dxa"/>
            <w:right w:w="55" w:type="dxa"/>
          </w:tblCellMar>
        </w:tblPrEx>
        <w:trPr>
          <w:wBefore w:w="0" w:type="dxa"/>
        </w:trPr>
        <w:tc>
          <w:tcPr>
            <w:tcW w:w="705" w:type="dxa"/>
            <w:tcBorders>
              <w:top w:val="nil"/>
              <w:left w:val="single" w:color="000000" w:sz="4" w:space="0"/>
              <w:bottom w:val="single" w:color="000000" w:sz="4" w:space="0"/>
              <w:right w:val="nil"/>
            </w:tcBorders>
            <w:noWrap w:val="0"/>
            <w:vAlign w:val="top"/>
          </w:tcPr>
          <w:p>
            <w:pPr>
              <w:spacing w:after="120" w:line="240" w:lineRule="auto"/>
              <w:ind w:right="-180"/>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10.</w:t>
            </w:r>
          </w:p>
        </w:tc>
        <w:tc>
          <w:tcPr>
            <w:tcW w:w="2483"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PTA 5 Preutesti     plecarea 2 </w:t>
            </w:r>
          </w:p>
        </w:tc>
        <w:tc>
          <w:tcPr>
            <w:tcW w:w="1051"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Aerian</w:t>
            </w:r>
          </w:p>
        </w:tc>
        <w:tc>
          <w:tcPr>
            <w:tcW w:w="212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OL ZN 25</w:t>
            </w:r>
          </w:p>
        </w:tc>
        <w:tc>
          <w:tcPr>
            <w:tcW w:w="99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w:t>
            </w:r>
          </w:p>
        </w:tc>
        <w:tc>
          <w:tcPr>
            <w:tcW w:w="1275"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Trifazic</w:t>
            </w:r>
          </w:p>
        </w:tc>
        <w:tc>
          <w:tcPr>
            <w:tcW w:w="1162" w:type="dxa"/>
            <w:tcBorders>
              <w:top w:val="nil"/>
              <w:left w:val="single" w:color="000000" w:sz="4" w:space="0"/>
              <w:bottom w:val="single" w:color="000000" w:sz="4" w:space="0"/>
              <w:right w:val="single" w:color="000000"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1,18 km</w:t>
            </w:r>
          </w:p>
        </w:tc>
      </w:tr>
      <w:tr>
        <w:tblPrEx>
          <w:tblCellMar>
            <w:top w:w="55" w:type="dxa"/>
            <w:left w:w="55" w:type="dxa"/>
            <w:bottom w:w="55" w:type="dxa"/>
            <w:right w:w="55" w:type="dxa"/>
          </w:tblCellMar>
        </w:tblPrEx>
        <w:trPr>
          <w:wBefore w:w="0" w:type="dxa"/>
        </w:trPr>
        <w:tc>
          <w:tcPr>
            <w:tcW w:w="705" w:type="dxa"/>
            <w:tcBorders>
              <w:top w:val="nil"/>
              <w:left w:val="single" w:color="000000" w:sz="4" w:space="0"/>
              <w:bottom w:val="single" w:color="000000" w:sz="4" w:space="0"/>
              <w:right w:val="nil"/>
            </w:tcBorders>
            <w:noWrap w:val="0"/>
            <w:vAlign w:val="top"/>
          </w:tcPr>
          <w:p>
            <w:pPr>
              <w:spacing w:after="120" w:line="240" w:lineRule="auto"/>
              <w:ind w:right="-180"/>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11.</w:t>
            </w:r>
          </w:p>
        </w:tc>
        <w:tc>
          <w:tcPr>
            <w:tcW w:w="2483"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PTA 6 Preutesti     plecarea 1 </w:t>
            </w:r>
          </w:p>
        </w:tc>
        <w:tc>
          <w:tcPr>
            <w:tcW w:w="1051"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Aerian</w:t>
            </w:r>
          </w:p>
        </w:tc>
        <w:tc>
          <w:tcPr>
            <w:tcW w:w="212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OL ZN 25</w:t>
            </w:r>
          </w:p>
        </w:tc>
        <w:tc>
          <w:tcPr>
            <w:tcW w:w="99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w:t>
            </w:r>
          </w:p>
        </w:tc>
        <w:tc>
          <w:tcPr>
            <w:tcW w:w="1275"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Trifazic</w:t>
            </w:r>
          </w:p>
        </w:tc>
        <w:tc>
          <w:tcPr>
            <w:tcW w:w="1162" w:type="dxa"/>
            <w:tcBorders>
              <w:top w:val="nil"/>
              <w:left w:val="single" w:color="000000" w:sz="4" w:space="0"/>
              <w:bottom w:val="single" w:color="000000" w:sz="4" w:space="0"/>
              <w:right w:val="single" w:color="000000"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1,18 km</w:t>
            </w:r>
          </w:p>
        </w:tc>
      </w:tr>
      <w:tr>
        <w:tblPrEx>
          <w:tblCellMar>
            <w:top w:w="55" w:type="dxa"/>
            <w:left w:w="55" w:type="dxa"/>
            <w:bottom w:w="55" w:type="dxa"/>
            <w:right w:w="55" w:type="dxa"/>
          </w:tblCellMar>
        </w:tblPrEx>
        <w:trPr>
          <w:wBefore w:w="0" w:type="dxa"/>
        </w:trPr>
        <w:tc>
          <w:tcPr>
            <w:tcW w:w="705" w:type="dxa"/>
            <w:tcBorders>
              <w:top w:val="nil"/>
              <w:left w:val="single" w:color="000000" w:sz="4" w:space="0"/>
              <w:bottom w:val="single" w:color="000000" w:sz="4" w:space="0"/>
              <w:right w:val="nil"/>
            </w:tcBorders>
            <w:noWrap w:val="0"/>
            <w:vAlign w:val="top"/>
          </w:tcPr>
          <w:p>
            <w:pPr>
              <w:spacing w:after="120" w:line="240" w:lineRule="auto"/>
              <w:ind w:right="-180"/>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12.</w:t>
            </w:r>
          </w:p>
        </w:tc>
        <w:tc>
          <w:tcPr>
            <w:tcW w:w="2483"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PTA 6 Preutesti     plecarea 2 </w:t>
            </w:r>
          </w:p>
        </w:tc>
        <w:tc>
          <w:tcPr>
            <w:tcW w:w="1051"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Aerian</w:t>
            </w:r>
          </w:p>
        </w:tc>
        <w:tc>
          <w:tcPr>
            <w:tcW w:w="212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OL ZN 25</w:t>
            </w:r>
          </w:p>
        </w:tc>
        <w:tc>
          <w:tcPr>
            <w:tcW w:w="99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2002</w:t>
            </w:r>
          </w:p>
        </w:tc>
        <w:tc>
          <w:tcPr>
            <w:tcW w:w="1275"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Trifazic</w:t>
            </w:r>
          </w:p>
        </w:tc>
        <w:tc>
          <w:tcPr>
            <w:tcW w:w="1162" w:type="dxa"/>
            <w:tcBorders>
              <w:top w:val="nil"/>
              <w:left w:val="single" w:color="000000" w:sz="4" w:space="0"/>
              <w:bottom w:val="single" w:color="000000" w:sz="4" w:space="0"/>
              <w:right w:val="single" w:color="000000"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0,88 km</w:t>
            </w:r>
          </w:p>
        </w:tc>
      </w:tr>
      <w:tr>
        <w:tblPrEx>
          <w:tblCellMar>
            <w:top w:w="55" w:type="dxa"/>
            <w:left w:w="55" w:type="dxa"/>
            <w:bottom w:w="55" w:type="dxa"/>
            <w:right w:w="55" w:type="dxa"/>
          </w:tblCellMar>
        </w:tblPrEx>
        <w:trPr>
          <w:wBefore w:w="0" w:type="dxa"/>
        </w:trPr>
        <w:tc>
          <w:tcPr>
            <w:tcW w:w="705" w:type="dxa"/>
            <w:tcBorders>
              <w:top w:val="nil"/>
              <w:left w:val="single" w:color="000000" w:sz="4" w:space="0"/>
              <w:bottom w:val="single" w:color="000000" w:sz="4" w:space="0"/>
              <w:right w:val="nil"/>
            </w:tcBorders>
            <w:noWrap w:val="0"/>
            <w:vAlign w:val="top"/>
          </w:tcPr>
          <w:p>
            <w:pPr>
              <w:spacing w:after="120" w:line="240" w:lineRule="auto"/>
              <w:ind w:right="-180"/>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13.</w:t>
            </w:r>
          </w:p>
        </w:tc>
        <w:tc>
          <w:tcPr>
            <w:tcW w:w="2483"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PTA1  Manastioara (Preutesti) plecarea 1</w:t>
            </w:r>
          </w:p>
        </w:tc>
        <w:tc>
          <w:tcPr>
            <w:tcW w:w="1051"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Aerian</w:t>
            </w:r>
          </w:p>
        </w:tc>
        <w:tc>
          <w:tcPr>
            <w:tcW w:w="212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OL ZN 25</w:t>
            </w:r>
          </w:p>
        </w:tc>
        <w:tc>
          <w:tcPr>
            <w:tcW w:w="99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2002</w:t>
            </w:r>
          </w:p>
        </w:tc>
        <w:tc>
          <w:tcPr>
            <w:tcW w:w="1275"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Trifazic</w:t>
            </w:r>
          </w:p>
        </w:tc>
        <w:tc>
          <w:tcPr>
            <w:tcW w:w="1162" w:type="dxa"/>
            <w:tcBorders>
              <w:top w:val="nil"/>
              <w:left w:val="single" w:color="000000" w:sz="4" w:space="0"/>
              <w:bottom w:val="single" w:color="000000" w:sz="4" w:space="0"/>
              <w:right w:val="single" w:color="000000"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0,98 km</w:t>
            </w:r>
          </w:p>
        </w:tc>
      </w:tr>
      <w:tr>
        <w:tblPrEx>
          <w:tblCellMar>
            <w:top w:w="55" w:type="dxa"/>
            <w:left w:w="55" w:type="dxa"/>
            <w:bottom w:w="55" w:type="dxa"/>
            <w:right w:w="55" w:type="dxa"/>
          </w:tblCellMar>
        </w:tblPrEx>
        <w:trPr>
          <w:wBefore w:w="0" w:type="dxa"/>
        </w:trPr>
        <w:tc>
          <w:tcPr>
            <w:tcW w:w="705" w:type="dxa"/>
            <w:tcBorders>
              <w:top w:val="nil"/>
              <w:left w:val="single" w:color="000000" w:sz="4" w:space="0"/>
              <w:bottom w:val="single" w:color="000000" w:sz="4" w:space="0"/>
              <w:right w:val="nil"/>
            </w:tcBorders>
            <w:noWrap w:val="0"/>
            <w:vAlign w:val="top"/>
          </w:tcPr>
          <w:p>
            <w:pPr>
              <w:spacing w:after="120" w:line="240" w:lineRule="auto"/>
              <w:ind w:right="-180"/>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14.</w:t>
            </w:r>
          </w:p>
        </w:tc>
        <w:tc>
          <w:tcPr>
            <w:tcW w:w="2483"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PTA1  Manastioara (Preutesti) plecarea 2</w:t>
            </w:r>
          </w:p>
        </w:tc>
        <w:tc>
          <w:tcPr>
            <w:tcW w:w="1051"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Aerian</w:t>
            </w:r>
          </w:p>
        </w:tc>
        <w:tc>
          <w:tcPr>
            <w:tcW w:w="2126" w:type="dxa"/>
            <w:tcBorders>
              <w:top w:val="nil"/>
              <w:left w:val="single" w:color="000000"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OL ZN 25</w:t>
            </w:r>
          </w:p>
        </w:tc>
        <w:tc>
          <w:tcPr>
            <w:tcW w:w="996" w:type="dxa"/>
            <w:tcBorders>
              <w:top w:val="nil"/>
              <w:left w:val="single" w:color="auto"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2002</w:t>
            </w:r>
          </w:p>
        </w:tc>
        <w:tc>
          <w:tcPr>
            <w:tcW w:w="1275" w:type="dxa"/>
            <w:tcBorders>
              <w:top w:val="nil"/>
              <w:left w:val="single" w:color="auto"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Trifazic</w:t>
            </w:r>
          </w:p>
        </w:tc>
        <w:tc>
          <w:tcPr>
            <w:tcW w:w="1162" w:type="dxa"/>
            <w:tcBorders>
              <w:top w:val="nil"/>
              <w:left w:val="single" w:color="auto" w:sz="4" w:space="0"/>
              <w:bottom w:val="single" w:color="000000" w:sz="4" w:space="0"/>
              <w:right w:val="single" w:color="000000"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0.92 km</w:t>
            </w:r>
          </w:p>
        </w:tc>
      </w:tr>
      <w:tr>
        <w:tblPrEx>
          <w:tblCellMar>
            <w:top w:w="55" w:type="dxa"/>
            <w:left w:w="55" w:type="dxa"/>
            <w:bottom w:w="55" w:type="dxa"/>
            <w:right w:w="55" w:type="dxa"/>
          </w:tblCellMar>
        </w:tblPrEx>
        <w:trPr>
          <w:wBefore w:w="0" w:type="dxa"/>
        </w:trPr>
        <w:tc>
          <w:tcPr>
            <w:tcW w:w="705" w:type="dxa"/>
            <w:tcBorders>
              <w:top w:val="nil"/>
              <w:left w:val="single" w:color="000000" w:sz="4" w:space="0"/>
              <w:bottom w:val="single" w:color="000000" w:sz="4" w:space="0"/>
              <w:right w:val="nil"/>
            </w:tcBorders>
            <w:noWrap w:val="0"/>
            <w:vAlign w:val="top"/>
          </w:tcPr>
          <w:p>
            <w:pPr>
              <w:spacing w:after="120" w:line="240" w:lineRule="auto"/>
              <w:ind w:right="-180"/>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15.</w:t>
            </w:r>
          </w:p>
        </w:tc>
        <w:tc>
          <w:tcPr>
            <w:tcW w:w="2483"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PTA 1 Arghira   </w:t>
            </w:r>
          </w:p>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Plecarea 1  </w:t>
            </w:r>
          </w:p>
        </w:tc>
        <w:tc>
          <w:tcPr>
            <w:tcW w:w="1051"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Aerian</w:t>
            </w:r>
          </w:p>
        </w:tc>
        <w:tc>
          <w:tcPr>
            <w:tcW w:w="2126" w:type="dxa"/>
            <w:tcBorders>
              <w:top w:val="nil"/>
              <w:left w:val="single" w:color="000000"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OL ZN 25</w:t>
            </w:r>
          </w:p>
        </w:tc>
        <w:tc>
          <w:tcPr>
            <w:tcW w:w="996" w:type="dxa"/>
            <w:tcBorders>
              <w:top w:val="nil"/>
              <w:left w:val="single" w:color="auto"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2002</w:t>
            </w:r>
          </w:p>
        </w:tc>
        <w:tc>
          <w:tcPr>
            <w:tcW w:w="1275" w:type="dxa"/>
            <w:tcBorders>
              <w:top w:val="nil"/>
              <w:left w:val="single" w:color="auto"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Trifazic</w:t>
            </w:r>
          </w:p>
        </w:tc>
        <w:tc>
          <w:tcPr>
            <w:tcW w:w="1162" w:type="dxa"/>
            <w:tcBorders>
              <w:top w:val="nil"/>
              <w:left w:val="single" w:color="auto" w:sz="4" w:space="0"/>
              <w:bottom w:val="single" w:color="000000" w:sz="4" w:space="0"/>
              <w:right w:val="single" w:color="000000"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0.97 km</w:t>
            </w:r>
          </w:p>
        </w:tc>
      </w:tr>
      <w:tr>
        <w:tblPrEx>
          <w:tblCellMar>
            <w:top w:w="55" w:type="dxa"/>
            <w:left w:w="55" w:type="dxa"/>
            <w:bottom w:w="55" w:type="dxa"/>
            <w:right w:w="55" w:type="dxa"/>
          </w:tblCellMar>
        </w:tblPrEx>
        <w:trPr>
          <w:wBefore w:w="0" w:type="dxa"/>
        </w:trPr>
        <w:tc>
          <w:tcPr>
            <w:tcW w:w="705" w:type="dxa"/>
            <w:tcBorders>
              <w:top w:val="nil"/>
              <w:left w:val="single" w:color="000000" w:sz="4" w:space="0"/>
              <w:bottom w:val="single" w:color="000000" w:sz="4" w:space="0"/>
              <w:right w:val="nil"/>
            </w:tcBorders>
            <w:noWrap w:val="0"/>
            <w:vAlign w:val="top"/>
          </w:tcPr>
          <w:p>
            <w:pPr>
              <w:spacing w:after="120" w:line="240" w:lineRule="auto"/>
              <w:ind w:right="-180"/>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16.</w:t>
            </w:r>
          </w:p>
        </w:tc>
        <w:tc>
          <w:tcPr>
            <w:tcW w:w="2483"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PTA 1 Arghira   </w:t>
            </w:r>
          </w:p>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Plecarea 2  </w:t>
            </w:r>
          </w:p>
        </w:tc>
        <w:tc>
          <w:tcPr>
            <w:tcW w:w="1051"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Aerian</w:t>
            </w:r>
          </w:p>
        </w:tc>
        <w:tc>
          <w:tcPr>
            <w:tcW w:w="2126" w:type="dxa"/>
            <w:tcBorders>
              <w:top w:val="nil"/>
              <w:left w:val="single" w:color="000000"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OL ZN 25</w:t>
            </w:r>
          </w:p>
        </w:tc>
        <w:tc>
          <w:tcPr>
            <w:tcW w:w="996" w:type="dxa"/>
            <w:tcBorders>
              <w:top w:val="nil"/>
              <w:left w:val="single" w:color="auto"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2002</w:t>
            </w:r>
          </w:p>
        </w:tc>
        <w:tc>
          <w:tcPr>
            <w:tcW w:w="1275" w:type="dxa"/>
            <w:tcBorders>
              <w:top w:val="nil"/>
              <w:left w:val="single" w:color="auto"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Trifazic</w:t>
            </w:r>
          </w:p>
        </w:tc>
        <w:tc>
          <w:tcPr>
            <w:tcW w:w="1162" w:type="dxa"/>
            <w:tcBorders>
              <w:top w:val="nil"/>
              <w:left w:val="single" w:color="auto" w:sz="4" w:space="0"/>
              <w:bottom w:val="single" w:color="000000" w:sz="4" w:space="0"/>
              <w:right w:val="single" w:color="000000"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1.22 km</w:t>
            </w:r>
          </w:p>
        </w:tc>
      </w:tr>
      <w:tr>
        <w:tblPrEx>
          <w:tblCellMar>
            <w:top w:w="55" w:type="dxa"/>
            <w:left w:w="55" w:type="dxa"/>
            <w:bottom w:w="55" w:type="dxa"/>
            <w:right w:w="55" w:type="dxa"/>
          </w:tblCellMar>
        </w:tblPrEx>
        <w:trPr>
          <w:wBefore w:w="0" w:type="dxa"/>
        </w:trPr>
        <w:tc>
          <w:tcPr>
            <w:tcW w:w="705" w:type="dxa"/>
            <w:tcBorders>
              <w:top w:val="nil"/>
              <w:left w:val="single" w:color="000000" w:sz="4" w:space="0"/>
              <w:bottom w:val="single" w:color="000000" w:sz="4" w:space="0"/>
              <w:right w:val="nil"/>
            </w:tcBorders>
            <w:noWrap w:val="0"/>
            <w:vAlign w:val="top"/>
          </w:tcPr>
          <w:p>
            <w:pPr>
              <w:spacing w:after="120" w:line="240" w:lineRule="auto"/>
              <w:ind w:right="-180"/>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17.</w:t>
            </w:r>
          </w:p>
        </w:tc>
        <w:tc>
          <w:tcPr>
            <w:tcW w:w="2483"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PTA 2 Arghira   </w:t>
            </w:r>
          </w:p>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Plecarea 1</w:t>
            </w:r>
          </w:p>
        </w:tc>
        <w:tc>
          <w:tcPr>
            <w:tcW w:w="1051"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Aerian</w:t>
            </w:r>
          </w:p>
        </w:tc>
        <w:tc>
          <w:tcPr>
            <w:tcW w:w="2126" w:type="dxa"/>
            <w:tcBorders>
              <w:top w:val="nil"/>
              <w:left w:val="single" w:color="000000"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OL ZN 25</w:t>
            </w:r>
          </w:p>
        </w:tc>
        <w:tc>
          <w:tcPr>
            <w:tcW w:w="996" w:type="dxa"/>
            <w:tcBorders>
              <w:top w:val="nil"/>
              <w:left w:val="single" w:color="auto"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2002</w:t>
            </w:r>
          </w:p>
        </w:tc>
        <w:tc>
          <w:tcPr>
            <w:tcW w:w="1275" w:type="dxa"/>
            <w:tcBorders>
              <w:top w:val="nil"/>
              <w:left w:val="single" w:color="auto"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Trifazic</w:t>
            </w:r>
          </w:p>
        </w:tc>
        <w:tc>
          <w:tcPr>
            <w:tcW w:w="1162" w:type="dxa"/>
            <w:tcBorders>
              <w:top w:val="nil"/>
              <w:left w:val="single" w:color="auto" w:sz="4" w:space="0"/>
              <w:bottom w:val="single" w:color="000000" w:sz="4" w:space="0"/>
              <w:right w:val="single" w:color="000000"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0.94 km</w:t>
            </w:r>
          </w:p>
        </w:tc>
      </w:tr>
      <w:tr>
        <w:tblPrEx>
          <w:tblCellMar>
            <w:top w:w="55" w:type="dxa"/>
            <w:left w:w="55" w:type="dxa"/>
            <w:bottom w:w="55" w:type="dxa"/>
            <w:right w:w="55" w:type="dxa"/>
          </w:tblCellMar>
        </w:tblPrEx>
        <w:trPr>
          <w:wBefore w:w="0" w:type="dxa"/>
        </w:trPr>
        <w:tc>
          <w:tcPr>
            <w:tcW w:w="705" w:type="dxa"/>
            <w:tcBorders>
              <w:top w:val="nil"/>
              <w:left w:val="single" w:color="000000" w:sz="4" w:space="0"/>
              <w:bottom w:val="single" w:color="000000" w:sz="4" w:space="0"/>
              <w:right w:val="nil"/>
            </w:tcBorders>
            <w:noWrap w:val="0"/>
            <w:vAlign w:val="top"/>
          </w:tcPr>
          <w:p>
            <w:pPr>
              <w:spacing w:after="120" w:line="240" w:lineRule="auto"/>
              <w:ind w:right="-180"/>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18.</w:t>
            </w:r>
          </w:p>
        </w:tc>
        <w:tc>
          <w:tcPr>
            <w:tcW w:w="2483"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PTA 2 Arghira  </w:t>
            </w:r>
          </w:p>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Plecarea 2 </w:t>
            </w:r>
          </w:p>
        </w:tc>
        <w:tc>
          <w:tcPr>
            <w:tcW w:w="1051"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Aerian </w:t>
            </w:r>
          </w:p>
        </w:tc>
        <w:tc>
          <w:tcPr>
            <w:tcW w:w="2126" w:type="dxa"/>
            <w:tcBorders>
              <w:top w:val="nil"/>
              <w:left w:val="single" w:color="000000"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OL ZN 25</w:t>
            </w:r>
          </w:p>
        </w:tc>
        <w:tc>
          <w:tcPr>
            <w:tcW w:w="996" w:type="dxa"/>
            <w:tcBorders>
              <w:top w:val="nil"/>
              <w:left w:val="single" w:color="auto"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w:t>
            </w:r>
          </w:p>
        </w:tc>
        <w:tc>
          <w:tcPr>
            <w:tcW w:w="1275" w:type="dxa"/>
            <w:tcBorders>
              <w:top w:val="nil"/>
              <w:left w:val="single" w:color="auto"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Trifazic </w:t>
            </w:r>
          </w:p>
        </w:tc>
        <w:tc>
          <w:tcPr>
            <w:tcW w:w="1162" w:type="dxa"/>
            <w:tcBorders>
              <w:top w:val="nil"/>
              <w:left w:val="single" w:color="auto" w:sz="4" w:space="0"/>
              <w:bottom w:val="single" w:color="000000" w:sz="4" w:space="0"/>
              <w:right w:val="single" w:color="000000"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0,89 km</w:t>
            </w:r>
          </w:p>
        </w:tc>
      </w:tr>
      <w:tr>
        <w:tblPrEx>
          <w:tblCellMar>
            <w:top w:w="55" w:type="dxa"/>
            <w:left w:w="55" w:type="dxa"/>
            <w:bottom w:w="55" w:type="dxa"/>
            <w:right w:w="55" w:type="dxa"/>
          </w:tblCellMar>
        </w:tblPrEx>
        <w:trPr>
          <w:wBefore w:w="0" w:type="dxa"/>
        </w:trPr>
        <w:tc>
          <w:tcPr>
            <w:tcW w:w="705" w:type="dxa"/>
            <w:tcBorders>
              <w:top w:val="nil"/>
              <w:left w:val="single" w:color="000000" w:sz="4" w:space="0"/>
              <w:bottom w:val="single" w:color="000000" w:sz="4" w:space="0"/>
              <w:right w:val="nil"/>
            </w:tcBorders>
            <w:noWrap w:val="0"/>
            <w:vAlign w:val="top"/>
          </w:tcPr>
          <w:p>
            <w:pPr>
              <w:spacing w:after="120" w:line="240" w:lineRule="auto"/>
              <w:ind w:right="-180"/>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19.</w:t>
            </w:r>
          </w:p>
        </w:tc>
        <w:tc>
          <w:tcPr>
            <w:tcW w:w="2483"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PTA 3 Arghira   </w:t>
            </w:r>
          </w:p>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Plecarea 1  </w:t>
            </w:r>
          </w:p>
        </w:tc>
        <w:tc>
          <w:tcPr>
            <w:tcW w:w="1051"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Aerian</w:t>
            </w:r>
          </w:p>
        </w:tc>
        <w:tc>
          <w:tcPr>
            <w:tcW w:w="2126" w:type="dxa"/>
            <w:tcBorders>
              <w:top w:val="nil"/>
              <w:left w:val="single" w:color="000000"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OL ZN 25</w:t>
            </w:r>
          </w:p>
        </w:tc>
        <w:tc>
          <w:tcPr>
            <w:tcW w:w="996" w:type="dxa"/>
            <w:tcBorders>
              <w:top w:val="nil"/>
              <w:left w:val="single" w:color="auto"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w:t>
            </w:r>
          </w:p>
        </w:tc>
        <w:tc>
          <w:tcPr>
            <w:tcW w:w="1275" w:type="dxa"/>
            <w:tcBorders>
              <w:top w:val="nil"/>
              <w:left w:val="single" w:color="auto"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Trifazic </w:t>
            </w:r>
          </w:p>
        </w:tc>
        <w:tc>
          <w:tcPr>
            <w:tcW w:w="1162" w:type="dxa"/>
            <w:tcBorders>
              <w:top w:val="nil"/>
              <w:left w:val="single" w:color="auto" w:sz="4" w:space="0"/>
              <w:bottom w:val="single" w:color="000000" w:sz="4" w:space="0"/>
              <w:right w:val="single" w:color="000000"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0,99 km</w:t>
            </w:r>
          </w:p>
        </w:tc>
      </w:tr>
      <w:tr>
        <w:tblPrEx>
          <w:tblCellMar>
            <w:top w:w="55" w:type="dxa"/>
            <w:left w:w="55" w:type="dxa"/>
            <w:bottom w:w="55" w:type="dxa"/>
            <w:right w:w="55" w:type="dxa"/>
          </w:tblCellMar>
        </w:tblPrEx>
        <w:trPr>
          <w:wBefore w:w="0" w:type="dxa"/>
        </w:trPr>
        <w:tc>
          <w:tcPr>
            <w:tcW w:w="705" w:type="dxa"/>
            <w:tcBorders>
              <w:top w:val="nil"/>
              <w:left w:val="single" w:color="000000" w:sz="4" w:space="0"/>
              <w:bottom w:val="single" w:color="000000" w:sz="4" w:space="0"/>
              <w:right w:val="nil"/>
            </w:tcBorders>
            <w:noWrap w:val="0"/>
            <w:vAlign w:val="top"/>
          </w:tcPr>
          <w:p>
            <w:pPr>
              <w:spacing w:after="120" w:line="240" w:lineRule="auto"/>
              <w:ind w:right="-180"/>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20.</w:t>
            </w:r>
          </w:p>
        </w:tc>
        <w:tc>
          <w:tcPr>
            <w:tcW w:w="2483"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PTA 3 Arghira   </w:t>
            </w:r>
          </w:p>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Plecarea 2  </w:t>
            </w:r>
          </w:p>
        </w:tc>
        <w:tc>
          <w:tcPr>
            <w:tcW w:w="1051"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Aerian</w:t>
            </w:r>
          </w:p>
        </w:tc>
        <w:tc>
          <w:tcPr>
            <w:tcW w:w="2126" w:type="dxa"/>
            <w:tcBorders>
              <w:top w:val="nil"/>
              <w:left w:val="single" w:color="000000"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OL ZN 25</w:t>
            </w:r>
          </w:p>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TYIR </w:t>
            </w:r>
          </w:p>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4x50+2x16</w:t>
            </w:r>
          </w:p>
        </w:tc>
        <w:tc>
          <w:tcPr>
            <w:tcW w:w="996" w:type="dxa"/>
            <w:tcBorders>
              <w:top w:val="nil"/>
              <w:left w:val="single" w:color="auto"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w:t>
            </w:r>
          </w:p>
        </w:tc>
        <w:tc>
          <w:tcPr>
            <w:tcW w:w="1275" w:type="dxa"/>
            <w:tcBorders>
              <w:top w:val="nil"/>
              <w:left w:val="single" w:color="auto" w:sz="4" w:space="0"/>
              <w:bottom w:val="single" w:color="000000"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Trifazic </w:t>
            </w:r>
          </w:p>
        </w:tc>
        <w:tc>
          <w:tcPr>
            <w:tcW w:w="1162" w:type="dxa"/>
            <w:tcBorders>
              <w:top w:val="nil"/>
              <w:left w:val="single" w:color="auto" w:sz="4" w:space="0"/>
              <w:bottom w:val="single" w:color="000000" w:sz="4" w:space="0"/>
              <w:right w:val="single" w:color="000000"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1,19 km</w:t>
            </w:r>
          </w:p>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0,93 km</w:t>
            </w:r>
          </w:p>
        </w:tc>
      </w:tr>
      <w:tr>
        <w:tblPrEx>
          <w:tblCellMar>
            <w:top w:w="55" w:type="dxa"/>
            <w:left w:w="55" w:type="dxa"/>
            <w:bottom w:w="55" w:type="dxa"/>
            <w:right w:w="55" w:type="dxa"/>
          </w:tblCellMar>
        </w:tblPrEx>
        <w:trPr>
          <w:wBefore w:w="0" w:type="dxa"/>
        </w:trPr>
        <w:tc>
          <w:tcPr>
            <w:tcW w:w="705" w:type="dxa"/>
            <w:tcBorders>
              <w:top w:val="nil"/>
              <w:left w:val="single" w:color="000000" w:sz="4" w:space="0"/>
              <w:bottom w:val="single" w:color="000000" w:sz="4" w:space="0"/>
              <w:right w:val="nil"/>
            </w:tcBorders>
            <w:noWrap w:val="0"/>
            <w:vAlign w:val="top"/>
          </w:tcPr>
          <w:p>
            <w:pPr>
              <w:spacing w:after="120" w:line="240" w:lineRule="auto"/>
              <w:ind w:right="-180"/>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21.</w:t>
            </w:r>
          </w:p>
        </w:tc>
        <w:tc>
          <w:tcPr>
            <w:tcW w:w="2483"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PTA 1 Bahna Arin </w:t>
            </w:r>
          </w:p>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Plecarea 1  </w:t>
            </w:r>
          </w:p>
        </w:tc>
        <w:tc>
          <w:tcPr>
            <w:tcW w:w="1051"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Aerian</w:t>
            </w:r>
          </w:p>
        </w:tc>
        <w:tc>
          <w:tcPr>
            <w:tcW w:w="212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TYIR </w:t>
            </w:r>
          </w:p>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4x50+2x16</w:t>
            </w:r>
          </w:p>
        </w:tc>
        <w:tc>
          <w:tcPr>
            <w:tcW w:w="99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1987</w:t>
            </w:r>
          </w:p>
        </w:tc>
        <w:tc>
          <w:tcPr>
            <w:tcW w:w="1275"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Trifazic</w:t>
            </w:r>
          </w:p>
        </w:tc>
        <w:tc>
          <w:tcPr>
            <w:tcW w:w="1162" w:type="dxa"/>
            <w:tcBorders>
              <w:top w:val="nil"/>
              <w:left w:val="single" w:color="000000" w:sz="4" w:space="0"/>
              <w:bottom w:val="single" w:color="000000" w:sz="4" w:space="0"/>
              <w:right w:val="single" w:color="000000"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1,36 km</w:t>
            </w:r>
          </w:p>
        </w:tc>
      </w:tr>
      <w:tr>
        <w:tblPrEx>
          <w:tblCellMar>
            <w:top w:w="55" w:type="dxa"/>
            <w:left w:w="55" w:type="dxa"/>
            <w:bottom w:w="55" w:type="dxa"/>
            <w:right w:w="55" w:type="dxa"/>
          </w:tblCellMar>
        </w:tblPrEx>
        <w:trPr>
          <w:wBefore w:w="0" w:type="dxa"/>
        </w:trPr>
        <w:tc>
          <w:tcPr>
            <w:tcW w:w="705" w:type="dxa"/>
            <w:tcBorders>
              <w:top w:val="nil"/>
              <w:left w:val="single" w:color="000000" w:sz="4" w:space="0"/>
              <w:bottom w:val="single" w:color="000000" w:sz="4" w:space="0"/>
              <w:right w:val="nil"/>
            </w:tcBorders>
            <w:noWrap w:val="0"/>
            <w:vAlign w:val="top"/>
          </w:tcPr>
          <w:p>
            <w:pPr>
              <w:spacing w:after="120" w:line="240" w:lineRule="auto"/>
              <w:ind w:right="-180"/>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22.</w:t>
            </w:r>
          </w:p>
        </w:tc>
        <w:tc>
          <w:tcPr>
            <w:tcW w:w="2483"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PTA 1 Bahna Arin </w:t>
            </w:r>
          </w:p>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Plecarea 2  </w:t>
            </w:r>
          </w:p>
        </w:tc>
        <w:tc>
          <w:tcPr>
            <w:tcW w:w="1051"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Aerian</w:t>
            </w:r>
          </w:p>
        </w:tc>
        <w:tc>
          <w:tcPr>
            <w:tcW w:w="212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TYIR </w:t>
            </w:r>
          </w:p>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4x50+2x16</w:t>
            </w:r>
          </w:p>
        </w:tc>
        <w:tc>
          <w:tcPr>
            <w:tcW w:w="99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1987</w:t>
            </w:r>
          </w:p>
        </w:tc>
        <w:tc>
          <w:tcPr>
            <w:tcW w:w="1275"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Trifazic</w:t>
            </w:r>
          </w:p>
        </w:tc>
        <w:tc>
          <w:tcPr>
            <w:tcW w:w="1162" w:type="dxa"/>
            <w:tcBorders>
              <w:top w:val="nil"/>
              <w:left w:val="single" w:color="000000" w:sz="4" w:space="0"/>
              <w:bottom w:val="single" w:color="000000" w:sz="4" w:space="0"/>
              <w:right w:val="single" w:color="000000"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1,12 km</w:t>
            </w:r>
          </w:p>
        </w:tc>
      </w:tr>
      <w:tr>
        <w:tblPrEx>
          <w:tblCellMar>
            <w:top w:w="55" w:type="dxa"/>
            <w:left w:w="55" w:type="dxa"/>
            <w:bottom w:w="55" w:type="dxa"/>
            <w:right w:w="55" w:type="dxa"/>
          </w:tblCellMar>
        </w:tblPrEx>
        <w:trPr>
          <w:wBefore w:w="0" w:type="dxa"/>
        </w:trPr>
        <w:tc>
          <w:tcPr>
            <w:tcW w:w="705" w:type="dxa"/>
            <w:tcBorders>
              <w:top w:val="nil"/>
              <w:left w:val="single" w:color="000000" w:sz="4" w:space="0"/>
              <w:bottom w:val="single" w:color="000000" w:sz="4" w:space="0"/>
              <w:right w:val="nil"/>
            </w:tcBorders>
            <w:noWrap w:val="0"/>
            <w:vAlign w:val="top"/>
          </w:tcPr>
          <w:p>
            <w:pPr>
              <w:spacing w:after="120" w:line="240" w:lineRule="auto"/>
              <w:ind w:right="-180"/>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23.</w:t>
            </w:r>
          </w:p>
        </w:tc>
        <w:tc>
          <w:tcPr>
            <w:tcW w:w="2483"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PTA 1 Basarabi </w:t>
            </w:r>
          </w:p>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Plecarea 1  </w:t>
            </w:r>
          </w:p>
        </w:tc>
        <w:tc>
          <w:tcPr>
            <w:tcW w:w="1051"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Aerian</w:t>
            </w:r>
          </w:p>
        </w:tc>
        <w:tc>
          <w:tcPr>
            <w:tcW w:w="212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OL ZN 50</w:t>
            </w:r>
          </w:p>
        </w:tc>
        <w:tc>
          <w:tcPr>
            <w:tcW w:w="99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1987</w:t>
            </w:r>
          </w:p>
        </w:tc>
        <w:tc>
          <w:tcPr>
            <w:tcW w:w="1275"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Trifazic</w:t>
            </w:r>
          </w:p>
        </w:tc>
        <w:tc>
          <w:tcPr>
            <w:tcW w:w="1162" w:type="dxa"/>
            <w:tcBorders>
              <w:top w:val="nil"/>
              <w:left w:val="single" w:color="000000" w:sz="4" w:space="0"/>
              <w:bottom w:val="single" w:color="000000" w:sz="4" w:space="0"/>
              <w:right w:val="single" w:color="000000"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0,91 km</w:t>
            </w:r>
          </w:p>
        </w:tc>
      </w:tr>
      <w:tr>
        <w:tblPrEx>
          <w:tblCellMar>
            <w:top w:w="55" w:type="dxa"/>
            <w:left w:w="55" w:type="dxa"/>
            <w:bottom w:w="55" w:type="dxa"/>
            <w:right w:w="55" w:type="dxa"/>
          </w:tblCellMar>
        </w:tblPrEx>
        <w:trPr>
          <w:wBefore w:w="0" w:type="dxa"/>
        </w:trPr>
        <w:tc>
          <w:tcPr>
            <w:tcW w:w="705" w:type="dxa"/>
            <w:tcBorders>
              <w:top w:val="nil"/>
              <w:left w:val="single" w:color="000000" w:sz="4" w:space="0"/>
              <w:bottom w:val="single" w:color="000000" w:sz="4" w:space="0"/>
              <w:right w:val="nil"/>
            </w:tcBorders>
            <w:noWrap w:val="0"/>
            <w:vAlign w:val="top"/>
          </w:tcPr>
          <w:p>
            <w:pPr>
              <w:spacing w:after="120" w:line="240" w:lineRule="auto"/>
              <w:ind w:right="-180"/>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24.</w:t>
            </w:r>
          </w:p>
        </w:tc>
        <w:tc>
          <w:tcPr>
            <w:tcW w:w="2483"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PTA 1 Basarabi </w:t>
            </w:r>
          </w:p>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Plecarea 2  </w:t>
            </w:r>
          </w:p>
        </w:tc>
        <w:tc>
          <w:tcPr>
            <w:tcW w:w="1051"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Aerian</w:t>
            </w:r>
          </w:p>
        </w:tc>
        <w:tc>
          <w:tcPr>
            <w:tcW w:w="212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OL ZN 50</w:t>
            </w:r>
          </w:p>
        </w:tc>
        <w:tc>
          <w:tcPr>
            <w:tcW w:w="99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1987</w:t>
            </w:r>
          </w:p>
        </w:tc>
        <w:tc>
          <w:tcPr>
            <w:tcW w:w="1275"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Trifazic</w:t>
            </w:r>
          </w:p>
        </w:tc>
        <w:tc>
          <w:tcPr>
            <w:tcW w:w="1162" w:type="dxa"/>
            <w:tcBorders>
              <w:top w:val="nil"/>
              <w:left w:val="single" w:color="000000" w:sz="4" w:space="0"/>
              <w:bottom w:val="single" w:color="000000" w:sz="4" w:space="0"/>
              <w:right w:val="single" w:color="000000"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1,11 km</w:t>
            </w:r>
          </w:p>
        </w:tc>
      </w:tr>
      <w:tr>
        <w:tblPrEx>
          <w:tblCellMar>
            <w:top w:w="55" w:type="dxa"/>
            <w:left w:w="55" w:type="dxa"/>
            <w:bottom w:w="55" w:type="dxa"/>
            <w:right w:w="55" w:type="dxa"/>
          </w:tblCellMar>
        </w:tblPrEx>
        <w:trPr>
          <w:wBefore w:w="0" w:type="dxa"/>
        </w:trPr>
        <w:tc>
          <w:tcPr>
            <w:tcW w:w="705" w:type="dxa"/>
            <w:tcBorders>
              <w:top w:val="nil"/>
              <w:left w:val="single" w:color="000000" w:sz="4" w:space="0"/>
              <w:bottom w:val="single" w:color="000000" w:sz="4" w:space="0"/>
              <w:right w:val="nil"/>
            </w:tcBorders>
            <w:noWrap w:val="0"/>
            <w:vAlign w:val="top"/>
          </w:tcPr>
          <w:p>
            <w:pPr>
              <w:spacing w:after="120" w:line="240" w:lineRule="auto"/>
              <w:ind w:right="-180"/>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25.</w:t>
            </w:r>
          </w:p>
        </w:tc>
        <w:tc>
          <w:tcPr>
            <w:tcW w:w="2483"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PTA 2 Basarabi</w:t>
            </w:r>
          </w:p>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Plecarea 1  </w:t>
            </w:r>
          </w:p>
        </w:tc>
        <w:tc>
          <w:tcPr>
            <w:tcW w:w="1051"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Aerian</w:t>
            </w:r>
          </w:p>
        </w:tc>
        <w:tc>
          <w:tcPr>
            <w:tcW w:w="212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TYIR </w:t>
            </w:r>
          </w:p>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4x50+2x16</w:t>
            </w:r>
          </w:p>
        </w:tc>
        <w:tc>
          <w:tcPr>
            <w:tcW w:w="99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2008</w:t>
            </w:r>
          </w:p>
        </w:tc>
        <w:tc>
          <w:tcPr>
            <w:tcW w:w="1275"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Trifazic</w:t>
            </w:r>
          </w:p>
        </w:tc>
        <w:tc>
          <w:tcPr>
            <w:tcW w:w="1162" w:type="dxa"/>
            <w:tcBorders>
              <w:top w:val="nil"/>
              <w:left w:val="single" w:color="000000" w:sz="4" w:space="0"/>
              <w:bottom w:val="single" w:color="000000" w:sz="4" w:space="0"/>
              <w:right w:val="single" w:color="000000"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0,82 km</w:t>
            </w:r>
          </w:p>
        </w:tc>
      </w:tr>
      <w:tr>
        <w:tblPrEx>
          <w:tblCellMar>
            <w:top w:w="55" w:type="dxa"/>
            <w:left w:w="55" w:type="dxa"/>
            <w:bottom w:w="55" w:type="dxa"/>
            <w:right w:w="55" w:type="dxa"/>
          </w:tblCellMar>
        </w:tblPrEx>
        <w:trPr>
          <w:wBefore w:w="0" w:type="dxa"/>
        </w:trPr>
        <w:tc>
          <w:tcPr>
            <w:tcW w:w="705" w:type="dxa"/>
            <w:tcBorders>
              <w:top w:val="nil"/>
              <w:left w:val="single" w:color="000000" w:sz="4" w:space="0"/>
              <w:bottom w:val="single" w:color="000000" w:sz="4" w:space="0"/>
              <w:right w:val="nil"/>
            </w:tcBorders>
            <w:noWrap w:val="0"/>
            <w:vAlign w:val="top"/>
          </w:tcPr>
          <w:p>
            <w:pPr>
              <w:spacing w:after="120" w:line="240" w:lineRule="auto"/>
              <w:ind w:right="-180"/>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26.</w:t>
            </w:r>
          </w:p>
        </w:tc>
        <w:tc>
          <w:tcPr>
            <w:tcW w:w="2483"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PTA 2 Basarabi</w:t>
            </w:r>
          </w:p>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Plecarea 2  </w:t>
            </w:r>
          </w:p>
        </w:tc>
        <w:tc>
          <w:tcPr>
            <w:tcW w:w="1051"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Aerian</w:t>
            </w:r>
          </w:p>
        </w:tc>
        <w:tc>
          <w:tcPr>
            <w:tcW w:w="212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TYIR </w:t>
            </w:r>
          </w:p>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4x50+2x16</w:t>
            </w:r>
          </w:p>
        </w:tc>
        <w:tc>
          <w:tcPr>
            <w:tcW w:w="99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2008</w:t>
            </w:r>
          </w:p>
        </w:tc>
        <w:tc>
          <w:tcPr>
            <w:tcW w:w="1275"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Trifazic</w:t>
            </w:r>
          </w:p>
        </w:tc>
        <w:tc>
          <w:tcPr>
            <w:tcW w:w="1162" w:type="dxa"/>
            <w:tcBorders>
              <w:top w:val="nil"/>
              <w:left w:val="single" w:color="000000" w:sz="4" w:space="0"/>
              <w:bottom w:val="single" w:color="000000" w:sz="4" w:space="0"/>
              <w:right w:val="single" w:color="000000"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0,97 km</w:t>
            </w:r>
          </w:p>
        </w:tc>
      </w:tr>
      <w:tr>
        <w:tblPrEx>
          <w:tblCellMar>
            <w:top w:w="55" w:type="dxa"/>
            <w:left w:w="55" w:type="dxa"/>
            <w:bottom w:w="55" w:type="dxa"/>
            <w:right w:w="55" w:type="dxa"/>
          </w:tblCellMar>
        </w:tblPrEx>
        <w:trPr>
          <w:wBefore w:w="0" w:type="dxa"/>
        </w:trPr>
        <w:tc>
          <w:tcPr>
            <w:tcW w:w="705" w:type="dxa"/>
            <w:tcBorders>
              <w:top w:val="nil"/>
              <w:left w:val="single" w:color="000000" w:sz="4" w:space="0"/>
              <w:bottom w:val="single" w:color="000000" w:sz="4" w:space="0"/>
              <w:right w:val="nil"/>
            </w:tcBorders>
            <w:noWrap w:val="0"/>
            <w:vAlign w:val="top"/>
          </w:tcPr>
          <w:p>
            <w:pPr>
              <w:spacing w:after="120" w:line="240" w:lineRule="auto"/>
              <w:ind w:right="-180"/>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27.</w:t>
            </w:r>
          </w:p>
        </w:tc>
        <w:tc>
          <w:tcPr>
            <w:tcW w:w="2483"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PTA 1 Gloduri (Basarabi) Plecarea 1  </w:t>
            </w:r>
          </w:p>
        </w:tc>
        <w:tc>
          <w:tcPr>
            <w:tcW w:w="1051"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Aerian</w:t>
            </w:r>
          </w:p>
        </w:tc>
        <w:tc>
          <w:tcPr>
            <w:tcW w:w="212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TYIR </w:t>
            </w:r>
          </w:p>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4x50+2x16</w:t>
            </w:r>
          </w:p>
        </w:tc>
        <w:tc>
          <w:tcPr>
            <w:tcW w:w="99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2008</w:t>
            </w:r>
          </w:p>
        </w:tc>
        <w:tc>
          <w:tcPr>
            <w:tcW w:w="1275"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Trifazic</w:t>
            </w:r>
          </w:p>
        </w:tc>
        <w:tc>
          <w:tcPr>
            <w:tcW w:w="1162" w:type="dxa"/>
            <w:tcBorders>
              <w:top w:val="nil"/>
              <w:left w:val="single" w:color="000000" w:sz="4" w:space="0"/>
              <w:bottom w:val="single" w:color="000000" w:sz="4" w:space="0"/>
              <w:right w:val="single" w:color="000000"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1,10 km</w:t>
            </w:r>
          </w:p>
        </w:tc>
      </w:tr>
      <w:tr>
        <w:tblPrEx>
          <w:tblCellMar>
            <w:top w:w="55" w:type="dxa"/>
            <w:left w:w="55" w:type="dxa"/>
            <w:bottom w:w="55" w:type="dxa"/>
            <w:right w:w="55" w:type="dxa"/>
          </w:tblCellMar>
        </w:tblPrEx>
        <w:trPr>
          <w:wBefore w:w="0" w:type="dxa"/>
        </w:trPr>
        <w:tc>
          <w:tcPr>
            <w:tcW w:w="705" w:type="dxa"/>
            <w:tcBorders>
              <w:top w:val="nil"/>
              <w:left w:val="single" w:color="000000" w:sz="4" w:space="0"/>
              <w:bottom w:val="single" w:color="000000" w:sz="4" w:space="0"/>
              <w:right w:val="nil"/>
            </w:tcBorders>
            <w:noWrap w:val="0"/>
            <w:vAlign w:val="top"/>
          </w:tcPr>
          <w:p>
            <w:pPr>
              <w:spacing w:after="120" w:line="240" w:lineRule="auto"/>
              <w:ind w:right="-180"/>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28.</w:t>
            </w:r>
          </w:p>
        </w:tc>
        <w:tc>
          <w:tcPr>
            <w:tcW w:w="2483"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PTA 1 Gloduri (Basarabi) Plecarea 2  </w:t>
            </w:r>
          </w:p>
        </w:tc>
        <w:tc>
          <w:tcPr>
            <w:tcW w:w="1051"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Aerian</w:t>
            </w:r>
          </w:p>
        </w:tc>
        <w:tc>
          <w:tcPr>
            <w:tcW w:w="212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OL ZN 50</w:t>
            </w:r>
          </w:p>
        </w:tc>
        <w:tc>
          <w:tcPr>
            <w:tcW w:w="99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1996</w:t>
            </w:r>
          </w:p>
        </w:tc>
        <w:tc>
          <w:tcPr>
            <w:tcW w:w="1275"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Trifazic</w:t>
            </w:r>
          </w:p>
        </w:tc>
        <w:tc>
          <w:tcPr>
            <w:tcW w:w="1162" w:type="dxa"/>
            <w:tcBorders>
              <w:top w:val="nil"/>
              <w:left w:val="single" w:color="000000" w:sz="4" w:space="0"/>
              <w:bottom w:val="single" w:color="000000" w:sz="4" w:space="0"/>
              <w:right w:val="single" w:color="000000"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1,13 km</w:t>
            </w:r>
          </w:p>
        </w:tc>
      </w:tr>
      <w:tr>
        <w:tblPrEx>
          <w:tblCellMar>
            <w:top w:w="55" w:type="dxa"/>
            <w:left w:w="55" w:type="dxa"/>
            <w:bottom w:w="55" w:type="dxa"/>
            <w:right w:w="55" w:type="dxa"/>
          </w:tblCellMar>
        </w:tblPrEx>
        <w:trPr>
          <w:wBefore w:w="0" w:type="dxa"/>
          <w:trHeight w:val="732" w:hRule="atLeast"/>
        </w:trPr>
        <w:tc>
          <w:tcPr>
            <w:tcW w:w="705" w:type="dxa"/>
            <w:tcBorders>
              <w:top w:val="nil"/>
              <w:left w:val="single" w:color="000000" w:sz="4" w:space="0"/>
              <w:bottom w:val="single" w:color="000000" w:sz="4" w:space="0"/>
              <w:right w:val="nil"/>
            </w:tcBorders>
            <w:noWrap w:val="0"/>
            <w:vAlign w:val="top"/>
          </w:tcPr>
          <w:p>
            <w:pPr>
              <w:spacing w:after="120" w:line="240" w:lineRule="auto"/>
              <w:ind w:right="-180"/>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29.</w:t>
            </w:r>
          </w:p>
        </w:tc>
        <w:tc>
          <w:tcPr>
            <w:tcW w:w="2483"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PTA 1 Husi</w:t>
            </w:r>
          </w:p>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Plecarea 1  </w:t>
            </w:r>
          </w:p>
        </w:tc>
        <w:tc>
          <w:tcPr>
            <w:tcW w:w="1051"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Aerian</w:t>
            </w:r>
          </w:p>
        </w:tc>
        <w:tc>
          <w:tcPr>
            <w:tcW w:w="212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OL ZN 50</w:t>
            </w:r>
          </w:p>
        </w:tc>
        <w:tc>
          <w:tcPr>
            <w:tcW w:w="99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1996</w:t>
            </w:r>
          </w:p>
        </w:tc>
        <w:tc>
          <w:tcPr>
            <w:tcW w:w="1275"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Trifazic</w:t>
            </w:r>
          </w:p>
        </w:tc>
        <w:tc>
          <w:tcPr>
            <w:tcW w:w="1162" w:type="dxa"/>
            <w:tcBorders>
              <w:top w:val="nil"/>
              <w:left w:val="single" w:color="000000" w:sz="4" w:space="0"/>
              <w:bottom w:val="single" w:color="000000" w:sz="4" w:space="0"/>
              <w:right w:val="single" w:color="000000"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0,97 km</w:t>
            </w:r>
          </w:p>
        </w:tc>
      </w:tr>
      <w:tr>
        <w:tblPrEx>
          <w:tblCellMar>
            <w:top w:w="55" w:type="dxa"/>
            <w:left w:w="55" w:type="dxa"/>
            <w:bottom w:w="55" w:type="dxa"/>
            <w:right w:w="55" w:type="dxa"/>
          </w:tblCellMar>
        </w:tblPrEx>
        <w:trPr>
          <w:wBefore w:w="0" w:type="dxa"/>
        </w:trPr>
        <w:tc>
          <w:tcPr>
            <w:tcW w:w="705" w:type="dxa"/>
            <w:tcBorders>
              <w:top w:val="nil"/>
              <w:left w:val="single" w:color="000000" w:sz="4" w:space="0"/>
              <w:bottom w:val="single" w:color="000000" w:sz="4" w:space="0"/>
              <w:right w:val="nil"/>
            </w:tcBorders>
            <w:noWrap w:val="0"/>
            <w:vAlign w:val="top"/>
          </w:tcPr>
          <w:p>
            <w:pPr>
              <w:spacing w:after="120" w:line="240" w:lineRule="auto"/>
              <w:ind w:right="-180"/>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30.</w:t>
            </w:r>
          </w:p>
        </w:tc>
        <w:tc>
          <w:tcPr>
            <w:tcW w:w="2483"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PTA 1 Husi</w:t>
            </w:r>
          </w:p>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Plecarea 2  </w:t>
            </w:r>
          </w:p>
        </w:tc>
        <w:tc>
          <w:tcPr>
            <w:tcW w:w="1051"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Aerian</w:t>
            </w:r>
          </w:p>
        </w:tc>
        <w:tc>
          <w:tcPr>
            <w:tcW w:w="212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OL ZN 50</w:t>
            </w:r>
          </w:p>
        </w:tc>
        <w:tc>
          <w:tcPr>
            <w:tcW w:w="99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2018</w:t>
            </w:r>
          </w:p>
        </w:tc>
        <w:tc>
          <w:tcPr>
            <w:tcW w:w="1275"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Trifazic</w:t>
            </w:r>
          </w:p>
        </w:tc>
        <w:tc>
          <w:tcPr>
            <w:tcW w:w="1162" w:type="dxa"/>
            <w:tcBorders>
              <w:top w:val="nil"/>
              <w:left w:val="single" w:color="000000" w:sz="4" w:space="0"/>
              <w:bottom w:val="single" w:color="000000" w:sz="4" w:space="0"/>
              <w:right w:val="single" w:color="000000"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0,93 km</w:t>
            </w:r>
          </w:p>
        </w:tc>
      </w:tr>
      <w:tr>
        <w:tblPrEx>
          <w:tblCellMar>
            <w:top w:w="55" w:type="dxa"/>
            <w:left w:w="55" w:type="dxa"/>
            <w:bottom w:w="55" w:type="dxa"/>
            <w:right w:w="55" w:type="dxa"/>
          </w:tblCellMar>
        </w:tblPrEx>
        <w:trPr>
          <w:wBefore w:w="0" w:type="dxa"/>
        </w:trPr>
        <w:tc>
          <w:tcPr>
            <w:tcW w:w="705" w:type="dxa"/>
            <w:tcBorders>
              <w:top w:val="nil"/>
              <w:left w:val="single" w:color="000000" w:sz="4" w:space="0"/>
              <w:bottom w:val="single" w:color="000000" w:sz="4" w:space="0"/>
              <w:right w:val="nil"/>
            </w:tcBorders>
            <w:noWrap w:val="0"/>
            <w:vAlign w:val="top"/>
          </w:tcPr>
          <w:p>
            <w:pPr>
              <w:spacing w:after="120" w:line="240" w:lineRule="auto"/>
              <w:ind w:right="-180"/>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31.</w:t>
            </w:r>
          </w:p>
        </w:tc>
        <w:tc>
          <w:tcPr>
            <w:tcW w:w="2483"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PTA 1 Leucusesti</w:t>
            </w:r>
          </w:p>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Plecarea 1  </w:t>
            </w:r>
          </w:p>
        </w:tc>
        <w:tc>
          <w:tcPr>
            <w:tcW w:w="1051"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Aerian</w:t>
            </w:r>
          </w:p>
        </w:tc>
        <w:tc>
          <w:tcPr>
            <w:tcW w:w="212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OL ZN 50</w:t>
            </w:r>
          </w:p>
        </w:tc>
        <w:tc>
          <w:tcPr>
            <w:tcW w:w="99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2018</w:t>
            </w:r>
          </w:p>
        </w:tc>
        <w:tc>
          <w:tcPr>
            <w:tcW w:w="1275"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Trifazic</w:t>
            </w:r>
          </w:p>
        </w:tc>
        <w:tc>
          <w:tcPr>
            <w:tcW w:w="1162" w:type="dxa"/>
            <w:tcBorders>
              <w:top w:val="nil"/>
              <w:left w:val="single" w:color="000000" w:sz="4" w:space="0"/>
              <w:bottom w:val="single" w:color="000000" w:sz="4" w:space="0"/>
              <w:right w:val="single" w:color="000000"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1,07 km</w:t>
            </w:r>
          </w:p>
        </w:tc>
      </w:tr>
      <w:tr>
        <w:tblPrEx>
          <w:tblCellMar>
            <w:top w:w="55" w:type="dxa"/>
            <w:left w:w="55" w:type="dxa"/>
            <w:bottom w:w="55" w:type="dxa"/>
            <w:right w:w="55" w:type="dxa"/>
          </w:tblCellMar>
        </w:tblPrEx>
        <w:trPr>
          <w:wBefore w:w="0" w:type="dxa"/>
        </w:trPr>
        <w:tc>
          <w:tcPr>
            <w:tcW w:w="705" w:type="dxa"/>
            <w:tcBorders>
              <w:top w:val="nil"/>
              <w:left w:val="single" w:color="000000" w:sz="4" w:space="0"/>
              <w:bottom w:val="single" w:color="000000" w:sz="4" w:space="0"/>
              <w:right w:val="nil"/>
            </w:tcBorders>
            <w:noWrap w:val="0"/>
            <w:vAlign w:val="top"/>
          </w:tcPr>
          <w:p>
            <w:pPr>
              <w:spacing w:after="120" w:line="240" w:lineRule="auto"/>
              <w:ind w:right="-180"/>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32.</w:t>
            </w:r>
          </w:p>
        </w:tc>
        <w:tc>
          <w:tcPr>
            <w:tcW w:w="2483"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PTA 1 Leucusesti</w:t>
            </w:r>
          </w:p>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Plecarea 2  </w:t>
            </w:r>
          </w:p>
        </w:tc>
        <w:tc>
          <w:tcPr>
            <w:tcW w:w="1051"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Aerian</w:t>
            </w:r>
          </w:p>
        </w:tc>
        <w:tc>
          <w:tcPr>
            <w:tcW w:w="212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OL ZN 50</w:t>
            </w:r>
          </w:p>
        </w:tc>
        <w:tc>
          <w:tcPr>
            <w:tcW w:w="99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2018</w:t>
            </w:r>
          </w:p>
        </w:tc>
        <w:tc>
          <w:tcPr>
            <w:tcW w:w="1275"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Trifazic</w:t>
            </w:r>
          </w:p>
        </w:tc>
        <w:tc>
          <w:tcPr>
            <w:tcW w:w="1162" w:type="dxa"/>
            <w:tcBorders>
              <w:top w:val="nil"/>
              <w:left w:val="single" w:color="000000" w:sz="4" w:space="0"/>
              <w:bottom w:val="single" w:color="000000" w:sz="4" w:space="0"/>
              <w:right w:val="single" w:color="000000"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0,98 km</w:t>
            </w:r>
          </w:p>
        </w:tc>
      </w:tr>
      <w:tr>
        <w:tblPrEx>
          <w:tblCellMar>
            <w:top w:w="55" w:type="dxa"/>
            <w:left w:w="55" w:type="dxa"/>
            <w:bottom w:w="55" w:type="dxa"/>
            <w:right w:w="55" w:type="dxa"/>
          </w:tblCellMar>
        </w:tblPrEx>
        <w:trPr>
          <w:wBefore w:w="0" w:type="dxa"/>
        </w:trPr>
        <w:tc>
          <w:tcPr>
            <w:tcW w:w="705" w:type="dxa"/>
            <w:tcBorders>
              <w:top w:val="nil"/>
              <w:left w:val="single" w:color="000000" w:sz="4" w:space="0"/>
              <w:bottom w:val="single" w:color="000000" w:sz="4" w:space="0"/>
              <w:right w:val="nil"/>
            </w:tcBorders>
            <w:noWrap w:val="0"/>
            <w:vAlign w:val="top"/>
          </w:tcPr>
          <w:p>
            <w:pPr>
              <w:spacing w:after="120" w:line="240" w:lineRule="auto"/>
              <w:ind w:right="-180"/>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33.</w:t>
            </w:r>
          </w:p>
        </w:tc>
        <w:tc>
          <w:tcPr>
            <w:tcW w:w="2483"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PTA 2 Leucusesti</w:t>
            </w:r>
          </w:p>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Plecarea 1  </w:t>
            </w:r>
          </w:p>
        </w:tc>
        <w:tc>
          <w:tcPr>
            <w:tcW w:w="1051"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Aerian</w:t>
            </w:r>
          </w:p>
        </w:tc>
        <w:tc>
          <w:tcPr>
            <w:tcW w:w="212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OL ZN 50</w:t>
            </w:r>
          </w:p>
        </w:tc>
        <w:tc>
          <w:tcPr>
            <w:tcW w:w="99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1987</w:t>
            </w:r>
          </w:p>
        </w:tc>
        <w:tc>
          <w:tcPr>
            <w:tcW w:w="1275"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Trifazic</w:t>
            </w:r>
          </w:p>
        </w:tc>
        <w:tc>
          <w:tcPr>
            <w:tcW w:w="1162" w:type="dxa"/>
            <w:tcBorders>
              <w:top w:val="nil"/>
              <w:left w:val="single" w:color="000000" w:sz="4" w:space="0"/>
              <w:bottom w:val="single" w:color="000000" w:sz="4" w:space="0"/>
              <w:right w:val="single" w:color="000000"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1,17 km</w:t>
            </w:r>
          </w:p>
        </w:tc>
      </w:tr>
      <w:tr>
        <w:tblPrEx>
          <w:tblCellMar>
            <w:top w:w="55" w:type="dxa"/>
            <w:left w:w="55" w:type="dxa"/>
            <w:bottom w:w="55" w:type="dxa"/>
            <w:right w:w="55" w:type="dxa"/>
          </w:tblCellMar>
        </w:tblPrEx>
        <w:trPr>
          <w:wBefore w:w="0" w:type="dxa"/>
        </w:trPr>
        <w:tc>
          <w:tcPr>
            <w:tcW w:w="705" w:type="dxa"/>
            <w:tcBorders>
              <w:top w:val="nil"/>
              <w:left w:val="single" w:color="000000" w:sz="4" w:space="0"/>
              <w:bottom w:val="single" w:color="000000" w:sz="4" w:space="0"/>
              <w:right w:val="nil"/>
            </w:tcBorders>
            <w:noWrap w:val="0"/>
            <w:vAlign w:val="top"/>
          </w:tcPr>
          <w:p>
            <w:pPr>
              <w:spacing w:after="120" w:line="240" w:lineRule="auto"/>
              <w:ind w:right="-180"/>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34.</w:t>
            </w:r>
          </w:p>
        </w:tc>
        <w:tc>
          <w:tcPr>
            <w:tcW w:w="2483"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PTA 2 Leucusesti</w:t>
            </w:r>
          </w:p>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Plecarea 2  </w:t>
            </w:r>
          </w:p>
        </w:tc>
        <w:tc>
          <w:tcPr>
            <w:tcW w:w="1051"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Aerian</w:t>
            </w:r>
          </w:p>
        </w:tc>
        <w:tc>
          <w:tcPr>
            <w:tcW w:w="212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OL ZN 50</w:t>
            </w:r>
          </w:p>
        </w:tc>
        <w:tc>
          <w:tcPr>
            <w:tcW w:w="99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1987</w:t>
            </w:r>
          </w:p>
        </w:tc>
        <w:tc>
          <w:tcPr>
            <w:tcW w:w="1275"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Trifazic</w:t>
            </w:r>
          </w:p>
        </w:tc>
        <w:tc>
          <w:tcPr>
            <w:tcW w:w="1162" w:type="dxa"/>
            <w:tcBorders>
              <w:top w:val="nil"/>
              <w:left w:val="single" w:color="000000" w:sz="4" w:space="0"/>
              <w:bottom w:val="single" w:color="000000" w:sz="4" w:space="0"/>
              <w:right w:val="single" w:color="000000"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1,03 km</w:t>
            </w:r>
          </w:p>
        </w:tc>
      </w:tr>
      <w:tr>
        <w:tblPrEx>
          <w:tblCellMar>
            <w:top w:w="55" w:type="dxa"/>
            <w:left w:w="55" w:type="dxa"/>
            <w:bottom w:w="55" w:type="dxa"/>
            <w:right w:w="55" w:type="dxa"/>
          </w:tblCellMar>
        </w:tblPrEx>
        <w:trPr>
          <w:wBefore w:w="0" w:type="dxa"/>
        </w:trPr>
        <w:tc>
          <w:tcPr>
            <w:tcW w:w="705" w:type="dxa"/>
            <w:tcBorders>
              <w:top w:val="nil"/>
              <w:left w:val="single" w:color="000000" w:sz="4" w:space="0"/>
              <w:bottom w:val="single" w:color="000000" w:sz="4" w:space="0"/>
              <w:right w:val="nil"/>
            </w:tcBorders>
            <w:noWrap w:val="0"/>
            <w:vAlign w:val="top"/>
          </w:tcPr>
          <w:p>
            <w:pPr>
              <w:spacing w:after="120" w:line="240" w:lineRule="auto"/>
              <w:ind w:right="-180"/>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35.</w:t>
            </w:r>
          </w:p>
        </w:tc>
        <w:tc>
          <w:tcPr>
            <w:tcW w:w="2483"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PTA 1 Antilesti (Leucusesti)</w:t>
            </w:r>
          </w:p>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Plecarea 1  </w:t>
            </w:r>
          </w:p>
        </w:tc>
        <w:tc>
          <w:tcPr>
            <w:tcW w:w="1051"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Aerian</w:t>
            </w:r>
          </w:p>
        </w:tc>
        <w:tc>
          <w:tcPr>
            <w:tcW w:w="212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TYIR </w:t>
            </w:r>
          </w:p>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4x50+2x16</w:t>
            </w:r>
          </w:p>
        </w:tc>
        <w:tc>
          <w:tcPr>
            <w:tcW w:w="99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1987</w:t>
            </w:r>
          </w:p>
        </w:tc>
        <w:tc>
          <w:tcPr>
            <w:tcW w:w="1275"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Trifazic</w:t>
            </w:r>
          </w:p>
        </w:tc>
        <w:tc>
          <w:tcPr>
            <w:tcW w:w="1162" w:type="dxa"/>
            <w:tcBorders>
              <w:top w:val="nil"/>
              <w:left w:val="single" w:color="000000" w:sz="4" w:space="0"/>
              <w:bottom w:val="single" w:color="000000" w:sz="4" w:space="0"/>
              <w:right w:val="single" w:color="000000"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0,99 km</w:t>
            </w:r>
          </w:p>
        </w:tc>
      </w:tr>
      <w:tr>
        <w:tblPrEx>
          <w:tblCellMar>
            <w:top w:w="55" w:type="dxa"/>
            <w:left w:w="55" w:type="dxa"/>
            <w:bottom w:w="55" w:type="dxa"/>
            <w:right w:w="55" w:type="dxa"/>
          </w:tblCellMar>
        </w:tblPrEx>
        <w:trPr>
          <w:wBefore w:w="0" w:type="dxa"/>
        </w:trPr>
        <w:tc>
          <w:tcPr>
            <w:tcW w:w="705" w:type="dxa"/>
            <w:tcBorders>
              <w:top w:val="nil"/>
              <w:left w:val="single" w:color="000000" w:sz="4" w:space="0"/>
              <w:bottom w:val="single" w:color="000000" w:sz="4" w:space="0"/>
              <w:right w:val="nil"/>
            </w:tcBorders>
            <w:noWrap w:val="0"/>
            <w:vAlign w:val="top"/>
          </w:tcPr>
          <w:p>
            <w:pPr>
              <w:spacing w:after="120" w:line="240" w:lineRule="auto"/>
              <w:ind w:right="-180"/>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36.</w:t>
            </w:r>
          </w:p>
        </w:tc>
        <w:tc>
          <w:tcPr>
            <w:tcW w:w="2483"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PTA 1 Antilesti (Leucusesti)</w:t>
            </w:r>
          </w:p>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Plecarea 1  </w:t>
            </w:r>
          </w:p>
        </w:tc>
        <w:tc>
          <w:tcPr>
            <w:tcW w:w="1051"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Aerian</w:t>
            </w:r>
          </w:p>
        </w:tc>
        <w:tc>
          <w:tcPr>
            <w:tcW w:w="212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TYIR </w:t>
            </w:r>
          </w:p>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4x50+2x16</w:t>
            </w:r>
          </w:p>
        </w:tc>
        <w:tc>
          <w:tcPr>
            <w:tcW w:w="99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1987</w:t>
            </w:r>
          </w:p>
        </w:tc>
        <w:tc>
          <w:tcPr>
            <w:tcW w:w="1275"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Trifazic</w:t>
            </w:r>
          </w:p>
        </w:tc>
        <w:tc>
          <w:tcPr>
            <w:tcW w:w="1162" w:type="dxa"/>
            <w:tcBorders>
              <w:top w:val="nil"/>
              <w:left w:val="single" w:color="000000" w:sz="4" w:space="0"/>
              <w:bottom w:val="single" w:color="000000" w:sz="4" w:space="0"/>
              <w:right w:val="single" w:color="000000"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0,89 km</w:t>
            </w:r>
          </w:p>
        </w:tc>
      </w:tr>
      <w:tr>
        <w:tblPrEx>
          <w:tblCellMar>
            <w:top w:w="55" w:type="dxa"/>
            <w:left w:w="55" w:type="dxa"/>
            <w:bottom w:w="55" w:type="dxa"/>
            <w:right w:w="55" w:type="dxa"/>
          </w:tblCellMar>
        </w:tblPrEx>
        <w:trPr>
          <w:wBefore w:w="0" w:type="dxa"/>
        </w:trPr>
        <w:tc>
          <w:tcPr>
            <w:tcW w:w="705" w:type="dxa"/>
            <w:tcBorders>
              <w:top w:val="nil"/>
              <w:left w:val="single" w:color="000000" w:sz="4" w:space="0"/>
              <w:bottom w:val="single" w:color="000000" w:sz="4" w:space="0"/>
              <w:right w:val="nil"/>
            </w:tcBorders>
            <w:noWrap w:val="0"/>
            <w:vAlign w:val="top"/>
          </w:tcPr>
          <w:p>
            <w:pPr>
              <w:spacing w:after="120" w:line="240" w:lineRule="auto"/>
              <w:ind w:right="-180"/>
              <w:jc w:val="center"/>
              <w:rPr>
                <w:rFonts w:ascii="Times New Roman" w:hAnsi="Times New Roman" w:eastAsia="Times New Roman" w:cs="Times New Roman"/>
                <w:sz w:val="28"/>
                <w:szCs w:val="28"/>
              </w:rPr>
            </w:pPr>
            <w:r>
              <w:rPr>
                <w:rFonts w:ascii="Times New Roman" w:hAnsi="Times New Roman" w:eastAsia="Times New Roman" w:cs="Times New Roman"/>
                <w:sz w:val="28"/>
                <w:szCs w:val="28"/>
              </w:rPr>
              <w:t>37.</w:t>
            </w:r>
          </w:p>
        </w:tc>
        <w:tc>
          <w:tcPr>
            <w:tcW w:w="2483" w:type="dxa"/>
            <w:tcBorders>
              <w:top w:val="nil"/>
              <w:left w:val="single" w:color="000000" w:sz="4" w:space="0"/>
              <w:bottom w:val="single" w:color="000000" w:sz="4" w:space="0"/>
              <w:right w:val="nil"/>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PTA 1 Ciorsaci (Leucusesti)</w:t>
            </w:r>
          </w:p>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Plecarea 1  </w:t>
            </w:r>
          </w:p>
        </w:tc>
        <w:tc>
          <w:tcPr>
            <w:tcW w:w="1051"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Aerian</w:t>
            </w:r>
          </w:p>
        </w:tc>
        <w:tc>
          <w:tcPr>
            <w:tcW w:w="212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OL ZN 50</w:t>
            </w:r>
          </w:p>
        </w:tc>
        <w:tc>
          <w:tcPr>
            <w:tcW w:w="996"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1987</w:t>
            </w:r>
          </w:p>
        </w:tc>
        <w:tc>
          <w:tcPr>
            <w:tcW w:w="1275" w:type="dxa"/>
            <w:tcBorders>
              <w:top w:val="nil"/>
              <w:left w:val="single" w:color="000000" w:sz="4" w:space="0"/>
              <w:bottom w:val="single" w:color="000000" w:sz="4" w:space="0"/>
              <w:right w:val="nil"/>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Trifazic</w:t>
            </w:r>
          </w:p>
        </w:tc>
        <w:tc>
          <w:tcPr>
            <w:tcW w:w="1162" w:type="dxa"/>
            <w:tcBorders>
              <w:top w:val="nil"/>
              <w:left w:val="single" w:color="000000" w:sz="4" w:space="0"/>
              <w:bottom w:val="single" w:color="000000" w:sz="4" w:space="0"/>
              <w:right w:val="single" w:color="000000"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1,07 km</w:t>
            </w:r>
          </w:p>
        </w:tc>
      </w:tr>
      <w:bookmarkEnd w:id="3"/>
    </w:tbl>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Reteaua de iluminat public este de 48,79 km, din care, 8,84 km sunt din conductor torsadat, in special acolo unde s-a efectuat INT de care furnizorul e energie electrica.</w:t>
      </w:r>
    </w:p>
    <w:p>
      <w:pPr>
        <w:pStyle w:val="9"/>
        <w:ind w:right="-180"/>
        <w:jc w:val="both"/>
        <w:rPr>
          <w:sz w:val="28"/>
          <w:szCs w:val="28"/>
        </w:rPr>
      </w:pPr>
      <w:r>
        <w:rPr>
          <w:b/>
          <w:bCs/>
          <w:sz w:val="28"/>
          <w:szCs w:val="28"/>
        </w:rPr>
        <w:t>Art.12</w:t>
      </w:r>
      <w:r>
        <w:rPr>
          <w:sz w:val="28"/>
          <w:szCs w:val="28"/>
        </w:rPr>
        <w:t xml:space="preserve"> Situatia corpurilor de iluminat din comuna Preutesti  , se prezinta astfel:</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26"/>
        <w:gridCol w:w="1344"/>
        <w:gridCol w:w="1345"/>
        <w:gridCol w:w="1344"/>
        <w:gridCol w:w="1472"/>
        <w:gridCol w:w="1677"/>
        <w:gridCol w:w="10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644"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Locatie</w:t>
            </w:r>
          </w:p>
          <w:p>
            <w:pPr>
              <w:spacing w:after="120" w:line="240" w:lineRule="auto"/>
              <w:ind w:right="-180"/>
              <w:jc w:val="both"/>
              <w:rPr>
                <w:rFonts w:ascii="Times New Roman" w:hAnsi="Times New Roman" w:eastAsia="Times New Roman" w:cs="Times New Roman"/>
                <w:sz w:val="28"/>
                <w:szCs w:val="28"/>
              </w:rPr>
            </w:pPr>
          </w:p>
        </w:tc>
        <w:tc>
          <w:tcPr>
            <w:tcW w:w="1375"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Corp il. cu lampi LED</w:t>
            </w:r>
          </w:p>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75w</w:t>
            </w:r>
          </w:p>
        </w:tc>
        <w:tc>
          <w:tcPr>
            <w:tcW w:w="1376"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Corp il. cu lampi ec.</w:t>
            </w:r>
          </w:p>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85w</w:t>
            </w:r>
          </w:p>
        </w:tc>
        <w:tc>
          <w:tcPr>
            <w:tcW w:w="1375"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Corp il.cu lampi cu Na.</w:t>
            </w:r>
          </w:p>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160w</w:t>
            </w:r>
          </w:p>
        </w:tc>
        <w:tc>
          <w:tcPr>
            <w:tcW w:w="1509"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Corp il.cu lampi cu Hg.</w:t>
            </w:r>
          </w:p>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160w</w:t>
            </w:r>
          </w:p>
        </w:tc>
        <w:tc>
          <w:tcPr>
            <w:tcW w:w="1510"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Corp il.cu lampi incandescenta.</w:t>
            </w:r>
          </w:p>
          <w:p>
            <w:pPr>
              <w:spacing w:after="120" w:line="240" w:lineRule="auto"/>
              <w:ind w:right="-180"/>
              <w:rPr>
                <w:rFonts w:ascii="Times New Roman" w:hAnsi="Times New Roman" w:eastAsia="Times New Roman" w:cs="Times New Roman"/>
                <w:sz w:val="28"/>
                <w:szCs w:val="28"/>
              </w:rPr>
            </w:pPr>
            <w:r>
              <w:rPr>
                <w:rFonts w:ascii="Times New Roman" w:hAnsi="Times New Roman" w:eastAsia="Times New Roman" w:cs="Times New Roman"/>
                <w:sz w:val="28"/>
                <w:szCs w:val="28"/>
              </w:rPr>
              <w:t>250 w</w:t>
            </w:r>
          </w:p>
        </w:tc>
        <w:tc>
          <w:tcPr>
            <w:tcW w:w="1064"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Total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84" w:hRule="atLeast"/>
        </w:trPr>
        <w:tc>
          <w:tcPr>
            <w:tcW w:w="1644"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 xml:space="preserve">Preutesti     </w:t>
            </w:r>
          </w:p>
        </w:tc>
        <w:tc>
          <w:tcPr>
            <w:tcW w:w="1375"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13</w:t>
            </w:r>
          </w:p>
        </w:tc>
        <w:tc>
          <w:tcPr>
            <w:tcW w:w="1376"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82</w:t>
            </w:r>
          </w:p>
        </w:tc>
        <w:tc>
          <w:tcPr>
            <w:tcW w:w="1375"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170</w:t>
            </w:r>
          </w:p>
        </w:tc>
        <w:tc>
          <w:tcPr>
            <w:tcW w:w="1509"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78</w:t>
            </w:r>
          </w:p>
        </w:tc>
        <w:tc>
          <w:tcPr>
            <w:tcW w:w="1510"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w:t>
            </w:r>
          </w:p>
        </w:tc>
        <w:tc>
          <w:tcPr>
            <w:tcW w:w="1064"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644"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Arghira</w:t>
            </w:r>
          </w:p>
        </w:tc>
        <w:tc>
          <w:tcPr>
            <w:tcW w:w="1375"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w:t>
            </w:r>
          </w:p>
        </w:tc>
        <w:tc>
          <w:tcPr>
            <w:tcW w:w="1376"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76</w:t>
            </w:r>
          </w:p>
        </w:tc>
        <w:tc>
          <w:tcPr>
            <w:tcW w:w="1375"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95</w:t>
            </w:r>
          </w:p>
        </w:tc>
        <w:tc>
          <w:tcPr>
            <w:tcW w:w="1509"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85</w:t>
            </w:r>
          </w:p>
        </w:tc>
        <w:tc>
          <w:tcPr>
            <w:tcW w:w="1510"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w:t>
            </w:r>
          </w:p>
        </w:tc>
        <w:tc>
          <w:tcPr>
            <w:tcW w:w="1064"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644"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Basarabi</w:t>
            </w:r>
          </w:p>
        </w:tc>
        <w:tc>
          <w:tcPr>
            <w:tcW w:w="1375"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w:t>
            </w:r>
          </w:p>
        </w:tc>
        <w:tc>
          <w:tcPr>
            <w:tcW w:w="1376"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56</w:t>
            </w:r>
          </w:p>
        </w:tc>
        <w:tc>
          <w:tcPr>
            <w:tcW w:w="1375"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87</w:t>
            </w:r>
          </w:p>
        </w:tc>
        <w:tc>
          <w:tcPr>
            <w:tcW w:w="1509"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78</w:t>
            </w:r>
          </w:p>
        </w:tc>
        <w:tc>
          <w:tcPr>
            <w:tcW w:w="1510"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w:t>
            </w:r>
          </w:p>
        </w:tc>
        <w:tc>
          <w:tcPr>
            <w:tcW w:w="1064"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644"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Bahna Arin</w:t>
            </w:r>
          </w:p>
        </w:tc>
        <w:tc>
          <w:tcPr>
            <w:tcW w:w="1375"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w:t>
            </w:r>
          </w:p>
        </w:tc>
        <w:tc>
          <w:tcPr>
            <w:tcW w:w="1376"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13</w:t>
            </w:r>
          </w:p>
        </w:tc>
        <w:tc>
          <w:tcPr>
            <w:tcW w:w="1375"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74</w:t>
            </w:r>
          </w:p>
        </w:tc>
        <w:tc>
          <w:tcPr>
            <w:tcW w:w="1509"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35</w:t>
            </w:r>
          </w:p>
        </w:tc>
        <w:tc>
          <w:tcPr>
            <w:tcW w:w="1510"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w:t>
            </w:r>
          </w:p>
        </w:tc>
        <w:tc>
          <w:tcPr>
            <w:tcW w:w="1064"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644"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Husi</w:t>
            </w:r>
          </w:p>
        </w:tc>
        <w:tc>
          <w:tcPr>
            <w:tcW w:w="1375"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w:t>
            </w:r>
          </w:p>
        </w:tc>
        <w:tc>
          <w:tcPr>
            <w:tcW w:w="1376"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17</w:t>
            </w:r>
          </w:p>
        </w:tc>
        <w:tc>
          <w:tcPr>
            <w:tcW w:w="1375"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26</w:t>
            </w:r>
          </w:p>
        </w:tc>
        <w:tc>
          <w:tcPr>
            <w:tcW w:w="1509"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33</w:t>
            </w:r>
          </w:p>
        </w:tc>
        <w:tc>
          <w:tcPr>
            <w:tcW w:w="1510"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w:t>
            </w:r>
          </w:p>
        </w:tc>
        <w:tc>
          <w:tcPr>
            <w:tcW w:w="1064"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644"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Leucusesti</w:t>
            </w:r>
          </w:p>
        </w:tc>
        <w:tc>
          <w:tcPr>
            <w:tcW w:w="1375"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w:t>
            </w:r>
          </w:p>
        </w:tc>
        <w:tc>
          <w:tcPr>
            <w:tcW w:w="1376"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31</w:t>
            </w:r>
          </w:p>
        </w:tc>
        <w:tc>
          <w:tcPr>
            <w:tcW w:w="1375"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62</w:t>
            </w:r>
          </w:p>
        </w:tc>
        <w:tc>
          <w:tcPr>
            <w:tcW w:w="1509"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89</w:t>
            </w:r>
          </w:p>
        </w:tc>
        <w:tc>
          <w:tcPr>
            <w:tcW w:w="1510"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2</w:t>
            </w:r>
          </w:p>
        </w:tc>
        <w:tc>
          <w:tcPr>
            <w:tcW w:w="1064"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rPr>
            </w:pPr>
            <w:r>
              <w:rPr>
                <w:rFonts w:ascii="Times New Roman" w:hAnsi="Times New Roman" w:eastAsia="Times New Roman" w:cs="Times New Roman"/>
                <w:sz w:val="28"/>
                <w:szCs w:val="28"/>
              </w:rPr>
              <w:t>184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644"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Total</w:t>
            </w:r>
          </w:p>
        </w:tc>
        <w:tc>
          <w:tcPr>
            <w:tcW w:w="1375"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13</w:t>
            </w:r>
          </w:p>
        </w:tc>
        <w:tc>
          <w:tcPr>
            <w:tcW w:w="1376"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275</w:t>
            </w:r>
          </w:p>
        </w:tc>
        <w:tc>
          <w:tcPr>
            <w:tcW w:w="1375"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514</w:t>
            </w:r>
          </w:p>
        </w:tc>
        <w:tc>
          <w:tcPr>
            <w:tcW w:w="1509"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398</w:t>
            </w:r>
          </w:p>
        </w:tc>
        <w:tc>
          <w:tcPr>
            <w:tcW w:w="1510"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2</w:t>
            </w:r>
          </w:p>
        </w:tc>
        <w:tc>
          <w:tcPr>
            <w:tcW w:w="1064"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b/>
                <w:bCs/>
                <w:sz w:val="28"/>
                <w:szCs w:val="28"/>
              </w:rPr>
            </w:pPr>
            <w:r>
              <w:rPr>
                <w:rFonts w:ascii="Times New Roman" w:hAnsi="Times New Roman" w:eastAsia="Times New Roman" w:cs="Times New Roman"/>
                <w:b/>
                <w:bCs/>
                <w:sz w:val="28"/>
                <w:szCs w:val="28"/>
              </w:rPr>
              <w:t>1202</w:t>
            </w:r>
          </w:p>
        </w:tc>
      </w:tr>
    </w:tbl>
    <w:p>
      <w:pPr>
        <w:pStyle w:val="9"/>
        <w:ind w:right="-180"/>
        <w:jc w:val="both"/>
        <w:rPr>
          <w:sz w:val="28"/>
          <w:szCs w:val="28"/>
        </w:rPr>
      </w:pPr>
    </w:p>
    <w:p>
      <w:pPr>
        <w:pStyle w:val="9"/>
        <w:ind w:right="-180"/>
        <w:jc w:val="both"/>
        <w:rPr>
          <w:b/>
          <w:bCs/>
          <w:sz w:val="28"/>
          <w:szCs w:val="28"/>
        </w:rPr>
      </w:pPr>
      <w:r>
        <w:rPr>
          <w:sz w:val="28"/>
          <w:szCs w:val="28"/>
        </w:rPr>
        <w:t xml:space="preserve">Din analiza situatiei corpurilor de iluminat si a lampilor, care este de fapt miza acestui caiet de sarcini, pentru ca de calitatea acestora, depinde confortul, siguranta circulatiei pietonale, circulatia auto, dar si consumul de energie electrica, se observa ca UAT Preutesti, are majoritatea surselor de iluminat public,sunt echipate cu lampi cu vapori de sodiu si cu vapori de mercur, sau corpuri de iluminat cu lampi economice. In continuarea modernizarii iluminatului public in comuna Preutesti , CL, Primaria, au decis sa inlocuiasca toate sursele de iluminat public cu lampi LED. In plus, UAT Preutesti , vrea sa instaleze Sistem de telegestiune a iluminatului public. </w:t>
      </w:r>
      <w:r>
        <w:rPr>
          <w:b/>
          <w:bCs/>
          <w:sz w:val="28"/>
          <w:szCs w:val="28"/>
        </w:rPr>
        <w:t>Toate aceste lucrari, sunt prevazute intr-un proiect din fonduri de mediu, care nu face obiectul contractului de delegare de gestiune.</w:t>
      </w:r>
    </w:p>
    <w:p>
      <w:pPr>
        <w:tabs>
          <w:tab w:val="left" w:pos="1440"/>
        </w:tabs>
        <w:spacing w:line="240" w:lineRule="auto"/>
        <w:ind w:right="-180"/>
        <w:jc w:val="both"/>
        <w:rPr>
          <w:rFonts w:ascii="Times New Roman" w:hAnsi="Times New Roman" w:eastAsia="Times New Roman" w:cs="Times New Roman"/>
          <w:bCs/>
          <w:sz w:val="28"/>
          <w:szCs w:val="28"/>
        </w:rPr>
      </w:pPr>
      <w:r>
        <w:rPr>
          <w:rFonts w:ascii="Times New Roman" w:hAnsi="Times New Roman" w:eastAsia="Times New Roman" w:cs="Times New Roman"/>
          <w:b/>
          <w:bCs/>
          <w:sz w:val="28"/>
          <w:szCs w:val="28"/>
        </w:rPr>
        <w:t>Art. 13</w:t>
      </w:r>
      <w:r>
        <w:rPr>
          <w:rFonts w:ascii="Times New Roman" w:hAnsi="Times New Roman" w:eastAsia="Times New Roman" w:cs="Times New Roman"/>
          <w:bCs/>
          <w:sz w:val="28"/>
          <w:szCs w:val="28"/>
        </w:rPr>
        <w:t xml:space="preserve"> Situația stilpilor folosiți la iluminatul public, se prezinta astfel:</w:t>
      </w:r>
    </w:p>
    <w:p>
      <w:pPr>
        <w:tabs>
          <w:tab w:val="left" w:pos="1440"/>
        </w:tabs>
        <w:spacing w:line="240" w:lineRule="auto"/>
        <w:ind w:right="-180"/>
        <w:jc w:val="both"/>
        <w:rPr>
          <w:rFonts w:ascii="Times New Roman" w:hAnsi="Times New Roman" w:eastAsia="Times New Roman" w:cs="Times New Roman"/>
          <w:bCs/>
          <w:sz w:val="28"/>
          <w:szCs w:val="28"/>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993"/>
        <w:gridCol w:w="1134"/>
        <w:gridCol w:w="992"/>
        <w:gridCol w:w="1276"/>
        <w:gridCol w:w="1275"/>
        <w:gridCol w:w="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376"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eastAsia="Times New Roman" w:cs="Times New Roman"/>
                <w:sz w:val="28"/>
                <w:szCs w:val="28"/>
                <w:lang w:val="en-GB"/>
              </w:rPr>
              <w:t>Locatie</w:t>
            </w:r>
          </w:p>
        </w:tc>
        <w:tc>
          <w:tcPr>
            <w:tcW w:w="993"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eastAsia="Times New Roman" w:cs="Times New Roman"/>
                <w:sz w:val="28"/>
                <w:szCs w:val="28"/>
                <w:lang w:val="en-GB"/>
              </w:rPr>
              <w:t>SE4</w:t>
            </w:r>
          </w:p>
        </w:tc>
        <w:tc>
          <w:tcPr>
            <w:tcW w:w="1134"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eastAsia="Times New Roman" w:cs="Times New Roman"/>
                <w:sz w:val="28"/>
                <w:szCs w:val="28"/>
                <w:lang w:val="en-GB"/>
              </w:rPr>
              <w:t>SE10</w:t>
            </w:r>
          </w:p>
        </w:tc>
        <w:tc>
          <w:tcPr>
            <w:tcW w:w="992"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eastAsia="Times New Roman" w:cs="Times New Roman"/>
                <w:sz w:val="28"/>
                <w:szCs w:val="28"/>
                <w:lang w:val="en-GB"/>
              </w:rPr>
              <w:t>SE11</w:t>
            </w:r>
          </w:p>
        </w:tc>
        <w:tc>
          <w:tcPr>
            <w:tcW w:w="1276"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eastAsia="Times New Roman" w:cs="Times New Roman"/>
                <w:sz w:val="28"/>
                <w:szCs w:val="28"/>
                <w:lang w:val="en-GB"/>
              </w:rPr>
              <w:t>SC10002</w:t>
            </w:r>
          </w:p>
        </w:tc>
        <w:tc>
          <w:tcPr>
            <w:tcW w:w="1275"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eastAsia="Times New Roman" w:cs="Times New Roman"/>
                <w:sz w:val="28"/>
                <w:szCs w:val="28"/>
                <w:lang w:val="en-GB"/>
              </w:rPr>
              <w:t>SC10015</w:t>
            </w:r>
          </w:p>
        </w:tc>
        <w:tc>
          <w:tcPr>
            <w:tcW w:w="956"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eastAsia="Times New Roman" w:cs="Times New Roman"/>
                <w:sz w:val="28"/>
                <w:szCs w:val="28"/>
                <w:lang w:val="en-GB"/>
              </w:rPr>
              <w:t>Total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376"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cs="Times New Roman"/>
                <w:sz w:val="28"/>
                <w:szCs w:val="28"/>
              </w:rPr>
              <w:t xml:space="preserve">Preutesti     </w:t>
            </w:r>
          </w:p>
        </w:tc>
        <w:tc>
          <w:tcPr>
            <w:tcW w:w="993"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eastAsia="Times New Roman" w:cs="Times New Roman"/>
                <w:sz w:val="28"/>
                <w:szCs w:val="28"/>
                <w:lang w:val="en-GB"/>
              </w:rPr>
              <w:t>364</w:t>
            </w:r>
          </w:p>
        </w:tc>
        <w:tc>
          <w:tcPr>
            <w:tcW w:w="1134"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eastAsia="Times New Roman" w:cs="Times New Roman"/>
                <w:sz w:val="28"/>
                <w:szCs w:val="28"/>
                <w:lang w:val="en-GB"/>
              </w:rPr>
              <w:t>53</w:t>
            </w:r>
          </w:p>
        </w:tc>
        <w:tc>
          <w:tcPr>
            <w:tcW w:w="992"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eastAsia="Times New Roman" w:cs="Times New Roman"/>
                <w:sz w:val="28"/>
                <w:szCs w:val="28"/>
                <w:lang w:val="en-GB"/>
              </w:rPr>
              <w:t>34</w:t>
            </w:r>
          </w:p>
        </w:tc>
        <w:tc>
          <w:tcPr>
            <w:tcW w:w="1276"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eastAsia="Times New Roman" w:cs="Times New Roman"/>
                <w:sz w:val="28"/>
                <w:szCs w:val="28"/>
                <w:lang w:val="en-GB"/>
              </w:rPr>
              <w:t>7</w:t>
            </w:r>
          </w:p>
        </w:tc>
        <w:tc>
          <w:tcPr>
            <w:tcW w:w="1275"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eastAsia="Times New Roman" w:cs="Times New Roman"/>
                <w:sz w:val="28"/>
                <w:szCs w:val="28"/>
                <w:lang w:val="en-GB"/>
              </w:rPr>
              <w:t>-</w:t>
            </w:r>
          </w:p>
        </w:tc>
        <w:tc>
          <w:tcPr>
            <w:tcW w:w="956"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eastAsia="Times New Roman" w:cs="Times New Roman"/>
                <w:sz w:val="28"/>
                <w:szCs w:val="28"/>
                <w:lang w:val="en-GB"/>
              </w:rPr>
              <w:t>458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376"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cs="Times New Roman"/>
                <w:sz w:val="28"/>
                <w:szCs w:val="28"/>
              </w:rPr>
              <w:t>Arghira</w:t>
            </w:r>
          </w:p>
        </w:tc>
        <w:tc>
          <w:tcPr>
            <w:tcW w:w="993"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eastAsia="Times New Roman" w:cs="Times New Roman"/>
                <w:sz w:val="28"/>
                <w:szCs w:val="28"/>
                <w:lang w:val="en-GB"/>
              </w:rPr>
              <w:t>219</w:t>
            </w:r>
          </w:p>
        </w:tc>
        <w:tc>
          <w:tcPr>
            <w:tcW w:w="1134"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eastAsia="Times New Roman" w:cs="Times New Roman"/>
                <w:sz w:val="28"/>
                <w:szCs w:val="28"/>
                <w:lang w:val="en-GB"/>
              </w:rPr>
              <w:t>42</w:t>
            </w:r>
          </w:p>
        </w:tc>
        <w:tc>
          <w:tcPr>
            <w:tcW w:w="992"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eastAsia="Times New Roman" w:cs="Times New Roman"/>
                <w:sz w:val="28"/>
                <w:szCs w:val="28"/>
                <w:lang w:val="en-GB"/>
              </w:rPr>
              <w:t>17</w:t>
            </w:r>
          </w:p>
        </w:tc>
        <w:tc>
          <w:tcPr>
            <w:tcW w:w="1276"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eastAsia="Times New Roman" w:cs="Times New Roman"/>
                <w:sz w:val="28"/>
                <w:szCs w:val="28"/>
                <w:lang w:val="en-GB"/>
              </w:rPr>
              <w:t>-</w:t>
            </w:r>
          </w:p>
        </w:tc>
        <w:tc>
          <w:tcPr>
            <w:tcW w:w="1275"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eastAsia="Times New Roman" w:cs="Times New Roman"/>
                <w:sz w:val="28"/>
                <w:szCs w:val="28"/>
                <w:lang w:val="en-GB"/>
              </w:rPr>
              <w:t>-</w:t>
            </w:r>
          </w:p>
        </w:tc>
        <w:tc>
          <w:tcPr>
            <w:tcW w:w="956"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eastAsia="Times New Roman" w:cs="Times New Roman"/>
                <w:sz w:val="28"/>
                <w:szCs w:val="28"/>
                <w:lang w:val="en-GB"/>
              </w:rPr>
              <w:t>278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376"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cs="Times New Roman"/>
                <w:sz w:val="28"/>
                <w:szCs w:val="28"/>
              </w:rPr>
              <w:t>Basarabi</w:t>
            </w:r>
          </w:p>
        </w:tc>
        <w:tc>
          <w:tcPr>
            <w:tcW w:w="993"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eastAsia="Times New Roman" w:cs="Times New Roman"/>
                <w:sz w:val="28"/>
                <w:szCs w:val="28"/>
                <w:lang w:val="en-GB"/>
              </w:rPr>
              <w:t>114</w:t>
            </w:r>
          </w:p>
        </w:tc>
        <w:tc>
          <w:tcPr>
            <w:tcW w:w="1134"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eastAsia="Times New Roman" w:cs="Times New Roman"/>
                <w:sz w:val="28"/>
                <w:szCs w:val="28"/>
                <w:lang w:val="en-GB"/>
              </w:rPr>
              <w:t>27</w:t>
            </w:r>
          </w:p>
        </w:tc>
        <w:tc>
          <w:tcPr>
            <w:tcW w:w="992"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eastAsia="Times New Roman" w:cs="Times New Roman"/>
                <w:sz w:val="28"/>
                <w:szCs w:val="28"/>
                <w:lang w:val="en-GB"/>
              </w:rPr>
              <w:t>12</w:t>
            </w:r>
          </w:p>
        </w:tc>
        <w:tc>
          <w:tcPr>
            <w:tcW w:w="1276"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eastAsia="Times New Roman" w:cs="Times New Roman"/>
                <w:sz w:val="28"/>
                <w:szCs w:val="28"/>
                <w:lang w:val="en-GB"/>
              </w:rPr>
              <w:t>3</w:t>
            </w:r>
          </w:p>
        </w:tc>
        <w:tc>
          <w:tcPr>
            <w:tcW w:w="1275"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eastAsia="Times New Roman" w:cs="Times New Roman"/>
                <w:sz w:val="28"/>
                <w:szCs w:val="28"/>
                <w:lang w:val="en-GB"/>
              </w:rPr>
              <w:t>-</w:t>
            </w:r>
          </w:p>
        </w:tc>
        <w:tc>
          <w:tcPr>
            <w:tcW w:w="956"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eastAsia="Times New Roman" w:cs="Times New Roman"/>
                <w:sz w:val="28"/>
                <w:szCs w:val="28"/>
                <w:lang w:val="en-GB"/>
              </w:rPr>
              <w:t>156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376"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cs="Times New Roman"/>
                <w:sz w:val="28"/>
                <w:szCs w:val="28"/>
              </w:rPr>
              <w:t>Bahna Arin</w:t>
            </w:r>
          </w:p>
        </w:tc>
        <w:tc>
          <w:tcPr>
            <w:tcW w:w="993"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eastAsia="Times New Roman" w:cs="Times New Roman"/>
                <w:sz w:val="28"/>
                <w:szCs w:val="28"/>
                <w:lang w:val="en-GB"/>
              </w:rPr>
              <w:t>78</w:t>
            </w:r>
          </w:p>
        </w:tc>
        <w:tc>
          <w:tcPr>
            <w:tcW w:w="1134"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eastAsia="Times New Roman" w:cs="Times New Roman"/>
                <w:sz w:val="28"/>
                <w:szCs w:val="28"/>
                <w:lang w:val="en-GB"/>
              </w:rPr>
              <w:t>7</w:t>
            </w:r>
          </w:p>
        </w:tc>
        <w:tc>
          <w:tcPr>
            <w:tcW w:w="992"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eastAsia="Times New Roman" w:cs="Times New Roman"/>
                <w:sz w:val="28"/>
                <w:szCs w:val="28"/>
                <w:lang w:val="en-GB"/>
              </w:rPr>
              <w:t>5</w:t>
            </w:r>
          </w:p>
        </w:tc>
        <w:tc>
          <w:tcPr>
            <w:tcW w:w="1276"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p>
        </w:tc>
        <w:tc>
          <w:tcPr>
            <w:tcW w:w="1275"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eastAsia="Times New Roman" w:cs="Times New Roman"/>
                <w:sz w:val="28"/>
                <w:szCs w:val="28"/>
                <w:lang w:val="en-GB"/>
              </w:rPr>
              <w:t>-</w:t>
            </w:r>
          </w:p>
        </w:tc>
        <w:tc>
          <w:tcPr>
            <w:tcW w:w="956"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eastAsia="Times New Roman" w:cs="Times New Roman"/>
                <w:sz w:val="28"/>
                <w:szCs w:val="28"/>
                <w:lang w:val="en-GB"/>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376"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cs="Times New Roman"/>
                <w:sz w:val="28"/>
                <w:szCs w:val="28"/>
              </w:rPr>
              <w:t>Husi</w:t>
            </w:r>
          </w:p>
        </w:tc>
        <w:tc>
          <w:tcPr>
            <w:tcW w:w="993"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eastAsia="Times New Roman" w:cs="Times New Roman"/>
                <w:sz w:val="28"/>
                <w:szCs w:val="28"/>
                <w:lang w:val="en-GB"/>
              </w:rPr>
              <w:t>81</w:t>
            </w:r>
          </w:p>
        </w:tc>
        <w:tc>
          <w:tcPr>
            <w:tcW w:w="1134"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eastAsia="Times New Roman" w:cs="Times New Roman"/>
                <w:sz w:val="28"/>
                <w:szCs w:val="28"/>
                <w:lang w:val="en-GB"/>
              </w:rPr>
              <w:t>9</w:t>
            </w:r>
          </w:p>
        </w:tc>
        <w:tc>
          <w:tcPr>
            <w:tcW w:w="992"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eastAsia="Times New Roman" w:cs="Times New Roman"/>
                <w:sz w:val="28"/>
                <w:szCs w:val="28"/>
                <w:lang w:val="en-GB"/>
              </w:rPr>
              <w:t>4</w:t>
            </w:r>
          </w:p>
        </w:tc>
        <w:tc>
          <w:tcPr>
            <w:tcW w:w="1276"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p>
        </w:tc>
        <w:tc>
          <w:tcPr>
            <w:tcW w:w="1275"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eastAsia="Times New Roman" w:cs="Times New Roman"/>
                <w:sz w:val="28"/>
                <w:szCs w:val="28"/>
                <w:lang w:val="en-GB"/>
              </w:rPr>
              <w:t>-</w:t>
            </w:r>
          </w:p>
        </w:tc>
        <w:tc>
          <w:tcPr>
            <w:tcW w:w="956"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eastAsia="Times New Roman" w:cs="Times New Roman"/>
                <w:sz w:val="28"/>
                <w:szCs w:val="28"/>
                <w:lang w:val="en-GB"/>
              </w:rPr>
              <w:t>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376"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cs="Times New Roman"/>
                <w:sz w:val="28"/>
                <w:szCs w:val="28"/>
              </w:rPr>
              <w:t>Leucusesti</w:t>
            </w:r>
          </w:p>
        </w:tc>
        <w:tc>
          <w:tcPr>
            <w:tcW w:w="993"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eastAsia="Times New Roman" w:cs="Times New Roman"/>
                <w:sz w:val="28"/>
                <w:szCs w:val="28"/>
                <w:lang w:val="en-GB"/>
              </w:rPr>
              <w:t>104</w:t>
            </w:r>
          </w:p>
        </w:tc>
        <w:tc>
          <w:tcPr>
            <w:tcW w:w="1134"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eastAsia="Times New Roman" w:cs="Times New Roman"/>
                <w:sz w:val="28"/>
                <w:szCs w:val="28"/>
                <w:lang w:val="en-GB"/>
              </w:rPr>
              <w:t>16</w:t>
            </w:r>
          </w:p>
        </w:tc>
        <w:tc>
          <w:tcPr>
            <w:tcW w:w="992"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eastAsia="Times New Roman" w:cs="Times New Roman"/>
                <w:sz w:val="28"/>
                <w:szCs w:val="28"/>
                <w:lang w:val="en-GB"/>
              </w:rPr>
              <w:t>7</w:t>
            </w:r>
          </w:p>
        </w:tc>
        <w:tc>
          <w:tcPr>
            <w:tcW w:w="1276"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p>
        </w:tc>
        <w:tc>
          <w:tcPr>
            <w:tcW w:w="1275"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eastAsia="Times New Roman" w:cs="Times New Roman"/>
                <w:sz w:val="28"/>
                <w:szCs w:val="28"/>
                <w:lang w:val="en-GB"/>
              </w:rPr>
              <w:t>2</w:t>
            </w:r>
          </w:p>
        </w:tc>
        <w:tc>
          <w:tcPr>
            <w:tcW w:w="956"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sz w:val="28"/>
                <w:szCs w:val="28"/>
                <w:lang w:val="en-GB"/>
              </w:rPr>
            </w:pPr>
            <w:r>
              <w:rPr>
                <w:rFonts w:ascii="Times New Roman" w:hAnsi="Times New Roman" w:eastAsia="Times New Roman" w:cs="Times New Roman"/>
                <w:sz w:val="28"/>
                <w:szCs w:val="28"/>
                <w:lang w:val="en-GB"/>
              </w:rPr>
              <w:t>129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376"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b/>
                <w:bCs/>
                <w:sz w:val="28"/>
                <w:szCs w:val="28"/>
                <w:lang w:val="en-GB"/>
              </w:rPr>
            </w:pPr>
            <w:r>
              <w:rPr>
                <w:rFonts w:ascii="Times New Roman" w:hAnsi="Times New Roman" w:eastAsia="Times New Roman" w:cs="Times New Roman"/>
                <w:b/>
                <w:bCs/>
                <w:sz w:val="28"/>
                <w:szCs w:val="28"/>
                <w:lang w:val="en-GB"/>
              </w:rPr>
              <w:t>TOTAL</w:t>
            </w:r>
          </w:p>
        </w:tc>
        <w:tc>
          <w:tcPr>
            <w:tcW w:w="993"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b/>
                <w:bCs/>
                <w:sz w:val="28"/>
                <w:szCs w:val="28"/>
                <w:lang w:val="en-GB"/>
              </w:rPr>
            </w:pPr>
            <w:r>
              <w:rPr>
                <w:rFonts w:ascii="Times New Roman" w:hAnsi="Times New Roman" w:eastAsia="Times New Roman" w:cs="Times New Roman"/>
                <w:b/>
                <w:bCs/>
                <w:sz w:val="28"/>
                <w:szCs w:val="28"/>
                <w:lang w:val="en-GB"/>
              </w:rPr>
              <w:t>960</w:t>
            </w:r>
          </w:p>
        </w:tc>
        <w:tc>
          <w:tcPr>
            <w:tcW w:w="1134"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b/>
                <w:bCs/>
                <w:sz w:val="28"/>
                <w:szCs w:val="28"/>
                <w:lang w:val="en-GB"/>
              </w:rPr>
            </w:pPr>
            <w:r>
              <w:rPr>
                <w:rFonts w:ascii="Times New Roman" w:hAnsi="Times New Roman" w:eastAsia="Times New Roman" w:cs="Times New Roman"/>
                <w:b/>
                <w:bCs/>
                <w:sz w:val="28"/>
                <w:szCs w:val="28"/>
                <w:lang w:val="en-GB"/>
              </w:rPr>
              <w:t>154</w:t>
            </w:r>
          </w:p>
        </w:tc>
        <w:tc>
          <w:tcPr>
            <w:tcW w:w="992"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b/>
                <w:bCs/>
                <w:sz w:val="28"/>
                <w:szCs w:val="28"/>
                <w:lang w:val="en-GB"/>
              </w:rPr>
            </w:pPr>
            <w:r>
              <w:rPr>
                <w:rFonts w:ascii="Times New Roman" w:hAnsi="Times New Roman" w:eastAsia="Times New Roman" w:cs="Times New Roman"/>
                <w:b/>
                <w:bCs/>
                <w:sz w:val="28"/>
                <w:szCs w:val="28"/>
                <w:lang w:val="en-GB"/>
              </w:rPr>
              <w:t>79</w:t>
            </w:r>
          </w:p>
        </w:tc>
        <w:tc>
          <w:tcPr>
            <w:tcW w:w="1276"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b/>
                <w:bCs/>
                <w:sz w:val="28"/>
                <w:szCs w:val="28"/>
                <w:lang w:val="en-GB"/>
              </w:rPr>
            </w:pPr>
            <w:r>
              <w:rPr>
                <w:rFonts w:ascii="Times New Roman" w:hAnsi="Times New Roman" w:eastAsia="Times New Roman" w:cs="Times New Roman"/>
                <w:b/>
                <w:bCs/>
                <w:sz w:val="28"/>
                <w:szCs w:val="28"/>
                <w:lang w:val="en-GB"/>
              </w:rPr>
              <w:t>10</w:t>
            </w:r>
          </w:p>
        </w:tc>
        <w:tc>
          <w:tcPr>
            <w:tcW w:w="1275"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b/>
                <w:bCs/>
                <w:sz w:val="28"/>
                <w:szCs w:val="28"/>
                <w:lang w:val="en-GB"/>
              </w:rPr>
            </w:pPr>
            <w:r>
              <w:rPr>
                <w:rFonts w:ascii="Times New Roman" w:hAnsi="Times New Roman" w:eastAsia="Times New Roman" w:cs="Times New Roman"/>
                <w:b/>
                <w:bCs/>
                <w:sz w:val="28"/>
                <w:szCs w:val="28"/>
                <w:lang w:val="en-GB"/>
              </w:rPr>
              <w:t>2</w:t>
            </w:r>
          </w:p>
        </w:tc>
        <w:tc>
          <w:tcPr>
            <w:tcW w:w="956" w:type="dxa"/>
            <w:tcBorders>
              <w:top w:val="single" w:color="auto" w:sz="4" w:space="0"/>
              <w:left w:val="single" w:color="auto" w:sz="4" w:space="0"/>
              <w:bottom w:val="single" w:color="auto" w:sz="4" w:space="0"/>
              <w:right w:val="single" w:color="auto" w:sz="4" w:space="0"/>
            </w:tcBorders>
            <w:noWrap w:val="0"/>
            <w:vAlign w:val="top"/>
          </w:tcPr>
          <w:p>
            <w:pPr>
              <w:spacing w:after="120" w:line="240" w:lineRule="auto"/>
              <w:ind w:right="-180"/>
              <w:jc w:val="both"/>
              <w:rPr>
                <w:rFonts w:ascii="Times New Roman" w:hAnsi="Times New Roman" w:eastAsia="Times New Roman" w:cs="Times New Roman"/>
                <w:b/>
                <w:bCs/>
                <w:sz w:val="28"/>
                <w:szCs w:val="28"/>
                <w:lang w:val="en-GB"/>
              </w:rPr>
            </w:pPr>
            <w:r>
              <w:rPr>
                <w:rFonts w:ascii="Times New Roman" w:hAnsi="Times New Roman" w:eastAsia="Times New Roman" w:cs="Times New Roman"/>
                <w:b/>
                <w:bCs/>
                <w:sz w:val="28"/>
                <w:szCs w:val="28"/>
                <w:lang w:val="en-GB"/>
              </w:rPr>
              <w:t>1205</w:t>
            </w:r>
          </w:p>
        </w:tc>
      </w:tr>
    </w:tbl>
    <w:p>
      <w:pPr>
        <w:pStyle w:val="9"/>
        <w:tabs>
          <w:tab w:val="left" w:pos="1440"/>
        </w:tabs>
        <w:ind w:right="-180"/>
        <w:jc w:val="both"/>
        <w:rPr>
          <w:b/>
          <w:bCs/>
          <w:sz w:val="28"/>
          <w:szCs w:val="28"/>
          <w:lang w:val="en-US"/>
        </w:rPr>
      </w:pPr>
    </w:p>
    <w:p>
      <w:pPr>
        <w:pStyle w:val="9"/>
        <w:tabs>
          <w:tab w:val="left" w:pos="1440"/>
        </w:tabs>
        <w:ind w:left="795" w:right="-180"/>
        <w:jc w:val="both"/>
        <w:rPr>
          <w:sz w:val="28"/>
          <w:szCs w:val="28"/>
        </w:rPr>
      </w:pPr>
      <w:r>
        <w:rPr>
          <w:b/>
          <w:bCs/>
          <w:sz w:val="28"/>
          <w:szCs w:val="28"/>
          <w:lang w:val="en-US"/>
        </w:rPr>
        <w:t xml:space="preserve">Art. 14 </w:t>
      </w:r>
      <w:r>
        <w:rPr>
          <w:sz w:val="28"/>
          <w:szCs w:val="28"/>
          <w:lang w:val="en-US"/>
        </w:rPr>
        <w:t>Clasificarea cailor de circulatie si caracteristicile acestora</w:t>
      </w:r>
    </w:p>
    <w:p>
      <w:pPr>
        <w:ind w:firstLine="720"/>
        <w:jc w:val="center"/>
        <w:rPr>
          <w:rFonts w:ascii="Times New Roman" w:hAnsi="Times New Roman" w:cs="Times New Roman"/>
          <w:sz w:val="28"/>
          <w:szCs w:val="28"/>
        </w:rPr>
      </w:pPr>
      <w:r>
        <w:rPr>
          <w:rFonts w:ascii="Times New Roman" w:hAnsi="Times New Roman" w:cs="Times New Roman"/>
          <w:color w:val="000080"/>
          <w:sz w:val="28"/>
          <w:szCs w:val="28"/>
        </w:rPr>
        <w:t>Clasele sistemelor de iluminat pentru diferite tipuri de cai de circulaţie</w:t>
      </w:r>
    </w:p>
    <w:p>
      <w:pPr>
        <w:jc w:val="both"/>
        <w:rPr>
          <w:rFonts w:ascii="Times New Roman" w:hAnsi="Times New Roman" w:cs="Times New Roman"/>
          <w:sz w:val="28"/>
          <w:szCs w:val="28"/>
        </w:rPr>
      </w:pPr>
    </w:p>
    <w:tbl>
      <w:tblPr>
        <w:tblStyle w:val="7"/>
        <w:tblW w:w="0" w:type="auto"/>
        <w:tblInd w:w="1209" w:type="dxa"/>
        <w:tblLayout w:type="fixed"/>
        <w:tblCellMar>
          <w:top w:w="0" w:type="dxa"/>
          <w:left w:w="108" w:type="dxa"/>
          <w:bottom w:w="0" w:type="dxa"/>
          <w:right w:w="108" w:type="dxa"/>
        </w:tblCellMar>
      </w:tblPr>
      <w:tblGrid>
        <w:gridCol w:w="6236"/>
        <w:gridCol w:w="2268"/>
      </w:tblGrid>
      <w:tr>
        <w:tblPrEx>
          <w:tblCellMar>
            <w:top w:w="0" w:type="dxa"/>
            <w:left w:w="108" w:type="dxa"/>
            <w:bottom w:w="0" w:type="dxa"/>
            <w:right w:w="108" w:type="dxa"/>
          </w:tblCellMar>
        </w:tblPrEx>
        <w:trPr>
          <w:wBefore w:w="0" w:type="auto"/>
          <w:trHeight w:val="537" w:hRule="atLeast"/>
        </w:trPr>
        <w:tc>
          <w:tcPr>
            <w:tcW w:w="6236"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sz w:val="28"/>
                <w:szCs w:val="28"/>
              </w:rPr>
            </w:pPr>
            <w:r>
              <w:rPr>
                <w:rFonts w:ascii="Times New Roman" w:hAnsi="Times New Roman" w:cs="Times New Roman"/>
                <w:color w:val="000080"/>
                <w:sz w:val="28"/>
                <w:szCs w:val="28"/>
              </w:rPr>
              <w:t>Caracteristicile cailor de circulatie</w:t>
            </w:r>
          </w:p>
        </w:tc>
        <w:tc>
          <w:tcPr>
            <w:tcW w:w="2268"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rPr>
                <w:rFonts w:ascii="Times New Roman" w:hAnsi="Times New Roman" w:cs="Times New Roman"/>
                <w:sz w:val="28"/>
                <w:szCs w:val="28"/>
              </w:rPr>
            </w:pPr>
            <w:r>
              <w:rPr>
                <w:rFonts w:ascii="Times New Roman" w:hAnsi="Times New Roman" w:cs="Times New Roman"/>
                <w:color w:val="000080"/>
                <w:sz w:val="28"/>
                <w:szCs w:val="28"/>
              </w:rPr>
              <w:t>Clasa sistemului de iluminat corespunzator</w:t>
            </w:r>
          </w:p>
        </w:tc>
      </w:tr>
      <w:tr>
        <w:tblPrEx>
          <w:tblCellMar>
            <w:top w:w="0" w:type="dxa"/>
            <w:left w:w="108" w:type="dxa"/>
            <w:bottom w:w="0" w:type="dxa"/>
            <w:right w:w="108" w:type="dxa"/>
          </w:tblCellMar>
        </w:tblPrEx>
        <w:trPr>
          <w:wBefore w:w="0" w:type="auto"/>
        </w:trPr>
        <w:tc>
          <w:tcPr>
            <w:tcW w:w="6236"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rPr>
                <w:rFonts w:ascii="Times New Roman" w:hAnsi="Times New Roman" w:cs="Times New Roman"/>
                <w:sz w:val="28"/>
                <w:szCs w:val="28"/>
              </w:rPr>
            </w:pPr>
            <w:r>
              <w:rPr>
                <w:rFonts w:ascii="Times New Roman" w:hAnsi="Times New Roman" w:cs="Times New Roman"/>
                <w:sz w:val="28"/>
                <w:szCs w:val="28"/>
              </w:rPr>
              <w:t xml:space="preserve">Cai de circulatie destinate traficului cu viteza mare de deplasare, cu sensuri de circulatie separate, fara intersectii si cu controlul accesului (autostrazi, cai de circulatie expres).                      </w:t>
            </w:r>
          </w:p>
          <w:p>
            <w:pPr>
              <w:rPr>
                <w:rFonts w:ascii="Times New Roman" w:hAnsi="Times New Roman" w:cs="Times New Roman"/>
                <w:sz w:val="28"/>
                <w:szCs w:val="28"/>
              </w:rPr>
            </w:pPr>
            <w:r>
              <w:rPr>
                <w:rFonts w:ascii="Times New Roman" w:hAnsi="Times New Roman" w:cs="Times New Roman"/>
                <w:sz w:val="28"/>
                <w:szCs w:val="28"/>
              </w:rPr>
              <w:t xml:space="preserve">Intensitatea traficului si complexitatea configuratiei rutiere:                   </w:t>
            </w:r>
          </w:p>
          <w:p>
            <w:pPr>
              <w:rPr>
                <w:rFonts w:ascii="Times New Roman" w:hAnsi="Times New Roman" w:cs="Times New Roman"/>
                <w:sz w:val="28"/>
                <w:szCs w:val="28"/>
              </w:rPr>
            </w:pPr>
            <w:r>
              <w:rPr>
                <w:rFonts w:ascii="Times New Roman" w:hAnsi="Times New Roman" w:cs="Times New Roman"/>
                <w:sz w:val="28"/>
                <w:szCs w:val="28"/>
              </w:rPr>
              <w:t xml:space="preserve">Ridicate                                                                                                           Medii                                                                                                         Scazute </w:t>
            </w:r>
          </w:p>
        </w:tc>
        <w:tc>
          <w:tcPr>
            <w:tcW w:w="2268"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both"/>
              <w:rPr>
                <w:rFonts w:ascii="Times New Roman" w:hAnsi="Times New Roman" w:cs="Times New Roman"/>
                <w:sz w:val="28"/>
                <w:szCs w:val="28"/>
              </w:rPr>
            </w:pPr>
            <w:r>
              <w:rPr>
                <w:rFonts w:ascii="Times New Roman" w:hAnsi="Times New Roman" w:cs="Times New Roman"/>
                <w:color w:val="000080"/>
                <w:sz w:val="28"/>
                <w:szCs w:val="28"/>
              </w:rPr>
              <w:t xml:space="preserve">                                             </w:t>
            </w:r>
          </w:p>
          <w:p>
            <w:pPr>
              <w:jc w:val="both"/>
              <w:rPr>
                <w:rFonts w:ascii="Times New Roman" w:hAnsi="Times New Roman" w:cs="Times New Roman"/>
                <w:color w:val="000080"/>
                <w:sz w:val="28"/>
                <w:szCs w:val="28"/>
              </w:rPr>
            </w:pPr>
          </w:p>
          <w:p>
            <w:pPr>
              <w:jc w:val="center"/>
              <w:rPr>
                <w:rFonts w:ascii="Times New Roman" w:hAnsi="Times New Roman" w:cs="Times New Roman"/>
                <w:color w:val="000080"/>
                <w:sz w:val="28"/>
                <w:szCs w:val="28"/>
              </w:rPr>
            </w:pPr>
          </w:p>
          <w:p>
            <w:pPr>
              <w:jc w:val="center"/>
              <w:rPr>
                <w:rFonts w:ascii="Times New Roman" w:hAnsi="Times New Roman" w:cs="Times New Roman"/>
                <w:color w:val="000080"/>
                <w:sz w:val="28"/>
                <w:szCs w:val="28"/>
              </w:rPr>
            </w:pPr>
          </w:p>
          <w:p>
            <w:pPr>
              <w:jc w:val="center"/>
              <w:rPr>
                <w:rFonts w:ascii="Times New Roman" w:hAnsi="Times New Roman" w:cs="Times New Roman"/>
                <w:color w:val="000080"/>
                <w:sz w:val="28"/>
                <w:szCs w:val="28"/>
              </w:rPr>
            </w:pPr>
          </w:p>
          <w:p>
            <w:pPr>
              <w:jc w:val="center"/>
              <w:rPr>
                <w:rFonts w:ascii="Times New Roman" w:hAnsi="Times New Roman" w:cs="Times New Roman"/>
                <w:color w:val="000080"/>
                <w:sz w:val="28"/>
                <w:szCs w:val="28"/>
              </w:rPr>
            </w:pPr>
          </w:p>
          <w:p>
            <w:pPr>
              <w:jc w:val="center"/>
              <w:rPr>
                <w:rFonts w:ascii="Times New Roman" w:hAnsi="Times New Roman" w:cs="Times New Roman"/>
                <w:sz w:val="28"/>
                <w:szCs w:val="28"/>
              </w:rPr>
            </w:pPr>
            <w:r>
              <w:rPr>
                <w:rFonts w:ascii="Times New Roman" w:hAnsi="Times New Roman" w:cs="Times New Roman"/>
                <w:color w:val="000080"/>
                <w:sz w:val="28"/>
                <w:szCs w:val="28"/>
              </w:rPr>
              <w:t>M1</w:t>
            </w:r>
          </w:p>
          <w:p>
            <w:pPr>
              <w:jc w:val="center"/>
              <w:rPr>
                <w:rFonts w:ascii="Times New Roman" w:hAnsi="Times New Roman" w:cs="Times New Roman"/>
                <w:color w:val="1F3864"/>
                <w:sz w:val="28"/>
                <w:szCs w:val="28"/>
              </w:rPr>
            </w:pPr>
            <w:r>
              <w:rPr>
                <w:rFonts w:ascii="Times New Roman" w:hAnsi="Times New Roman" w:cs="Times New Roman"/>
                <w:color w:val="1F3864"/>
                <w:sz w:val="28"/>
                <w:szCs w:val="28"/>
              </w:rPr>
              <w:t>M2</w:t>
            </w:r>
          </w:p>
          <w:p>
            <w:pPr>
              <w:jc w:val="center"/>
              <w:rPr>
                <w:rFonts w:ascii="Times New Roman" w:hAnsi="Times New Roman" w:cs="Times New Roman"/>
                <w:color w:val="1F3864"/>
                <w:sz w:val="28"/>
                <w:szCs w:val="28"/>
              </w:rPr>
            </w:pPr>
            <w:r>
              <w:rPr>
                <w:rFonts w:ascii="Times New Roman" w:hAnsi="Times New Roman" w:cs="Times New Roman"/>
                <w:color w:val="1F3864"/>
                <w:sz w:val="28"/>
                <w:szCs w:val="28"/>
              </w:rPr>
              <w:t>M3</w:t>
            </w:r>
          </w:p>
        </w:tc>
      </w:tr>
      <w:tr>
        <w:tblPrEx>
          <w:tblCellMar>
            <w:top w:w="0" w:type="dxa"/>
            <w:left w:w="108" w:type="dxa"/>
            <w:bottom w:w="0" w:type="dxa"/>
            <w:right w:w="108" w:type="dxa"/>
          </w:tblCellMar>
        </w:tblPrEx>
        <w:trPr>
          <w:wBefore w:w="0" w:type="auto"/>
        </w:trPr>
        <w:tc>
          <w:tcPr>
            <w:tcW w:w="6236"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rPr>
                <w:rFonts w:ascii="Times New Roman" w:hAnsi="Times New Roman" w:cs="Times New Roman"/>
                <w:sz w:val="28"/>
                <w:szCs w:val="28"/>
              </w:rPr>
            </w:pPr>
            <w:r>
              <w:rPr>
                <w:rFonts w:ascii="Times New Roman" w:hAnsi="Times New Roman" w:cs="Times New Roman"/>
                <w:sz w:val="28"/>
                <w:szCs w:val="28"/>
              </w:rPr>
              <w:t xml:space="preserve">Cai de circulatie destinate traficului de mare viteza, cu doua sensuri de circulatie.                                                                                                Controlul traficului si separarea benzilor de circulatie:                         </w:t>
            </w:r>
          </w:p>
          <w:p>
            <w:pPr>
              <w:rPr>
                <w:rFonts w:ascii="Times New Roman" w:hAnsi="Times New Roman" w:cs="Times New Roman"/>
                <w:sz w:val="28"/>
                <w:szCs w:val="28"/>
              </w:rPr>
            </w:pPr>
            <w:r>
              <w:rPr>
                <w:rFonts w:ascii="Times New Roman" w:hAnsi="Times New Roman" w:cs="Times New Roman"/>
                <w:sz w:val="28"/>
                <w:szCs w:val="28"/>
              </w:rPr>
              <w:t>Ridicate                                                                                                   Scazute</w:t>
            </w:r>
          </w:p>
        </w:tc>
        <w:tc>
          <w:tcPr>
            <w:tcW w:w="2268"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both"/>
              <w:rPr>
                <w:rFonts w:ascii="Times New Roman" w:hAnsi="Times New Roman" w:cs="Times New Roman"/>
                <w:color w:val="000080"/>
                <w:sz w:val="28"/>
                <w:szCs w:val="28"/>
              </w:rPr>
            </w:pPr>
          </w:p>
          <w:p>
            <w:pPr>
              <w:jc w:val="both"/>
              <w:rPr>
                <w:rFonts w:ascii="Times New Roman" w:hAnsi="Times New Roman" w:cs="Times New Roman"/>
                <w:color w:val="000080"/>
                <w:sz w:val="28"/>
                <w:szCs w:val="28"/>
              </w:rPr>
            </w:pPr>
          </w:p>
          <w:p>
            <w:pPr>
              <w:jc w:val="both"/>
              <w:rPr>
                <w:rFonts w:ascii="Times New Roman" w:hAnsi="Times New Roman" w:cs="Times New Roman"/>
                <w:color w:val="000080"/>
                <w:sz w:val="28"/>
                <w:szCs w:val="28"/>
              </w:rPr>
            </w:pPr>
          </w:p>
          <w:p>
            <w:pPr>
              <w:jc w:val="center"/>
              <w:rPr>
                <w:rFonts w:ascii="Times New Roman" w:hAnsi="Times New Roman" w:cs="Times New Roman"/>
                <w:color w:val="000080"/>
                <w:sz w:val="28"/>
                <w:szCs w:val="28"/>
              </w:rPr>
            </w:pPr>
          </w:p>
          <w:p>
            <w:pPr>
              <w:jc w:val="center"/>
              <w:rPr>
                <w:rFonts w:ascii="Times New Roman" w:hAnsi="Times New Roman" w:cs="Times New Roman"/>
                <w:sz w:val="28"/>
                <w:szCs w:val="28"/>
              </w:rPr>
            </w:pPr>
            <w:r>
              <w:rPr>
                <w:rFonts w:ascii="Times New Roman" w:hAnsi="Times New Roman" w:cs="Times New Roman"/>
                <w:color w:val="000080"/>
                <w:sz w:val="28"/>
                <w:szCs w:val="28"/>
              </w:rPr>
              <w:t>M1</w:t>
            </w:r>
          </w:p>
          <w:p>
            <w:pPr>
              <w:jc w:val="center"/>
              <w:rPr>
                <w:rFonts w:ascii="Times New Roman" w:hAnsi="Times New Roman" w:cs="Times New Roman"/>
                <w:sz w:val="28"/>
                <w:szCs w:val="28"/>
              </w:rPr>
            </w:pPr>
            <w:r>
              <w:rPr>
                <w:rFonts w:ascii="Times New Roman" w:hAnsi="Times New Roman" w:cs="Times New Roman"/>
                <w:color w:val="365F91"/>
                <w:sz w:val="28"/>
                <w:szCs w:val="28"/>
              </w:rPr>
              <w:t>M2</w:t>
            </w:r>
          </w:p>
        </w:tc>
      </w:tr>
      <w:tr>
        <w:tblPrEx>
          <w:tblCellMar>
            <w:top w:w="0" w:type="dxa"/>
            <w:left w:w="108" w:type="dxa"/>
            <w:bottom w:w="0" w:type="dxa"/>
            <w:right w:w="108" w:type="dxa"/>
          </w:tblCellMar>
        </w:tblPrEx>
        <w:trPr>
          <w:wBefore w:w="0" w:type="auto"/>
        </w:trPr>
        <w:tc>
          <w:tcPr>
            <w:tcW w:w="6236"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both"/>
              <w:rPr>
                <w:rFonts w:ascii="Times New Roman" w:hAnsi="Times New Roman" w:cs="Times New Roman"/>
                <w:sz w:val="28"/>
                <w:szCs w:val="28"/>
              </w:rPr>
            </w:pPr>
            <w:r>
              <w:rPr>
                <w:rFonts w:ascii="Times New Roman" w:hAnsi="Times New Roman" w:cs="Times New Roman"/>
                <w:sz w:val="28"/>
                <w:szCs w:val="28"/>
              </w:rPr>
              <w:t xml:space="preserve">Cai de circulatie urbane cu trafic important, cai de circulatie radiale.    Controlul traficului si separarea benzilor de circulatie:                            </w:t>
            </w:r>
          </w:p>
          <w:p>
            <w:pPr>
              <w:jc w:val="both"/>
              <w:rPr>
                <w:rFonts w:ascii="Times New Roman" w:hAnsi="Times New Roman" w:cs="Times New Roman"/>
                <w:sz w:val="28"/>
                <w:szCs w:val="28"/>
              </w:rPr>
            </w:pPr>
            <w:r>
              <w:rPr>
                <w:rFonts w:ascii="Times New Roman" w:hAnsi="Times New Roman" w:cs="Times New Roman"/>
                <w:sz w:val="28"/>
                <w:szCs w:val="28"/>
              </w:rPr>
              <w:t>Rificate                                                                                                Scazute</w:t>
            </w:r>
          </w:p>
        </w:tc>
        <w:tc>
          <w:tcPr>
            <w:tcW w:w="2268"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both"/>
              <w:rPr>
                <w:rFonts w:ascii="Times New Roman" w:hAnsi="Times New Roman" w:cs="Times New Roman"/>
                <w:color w:val="000080"/>
                <w:sz w:val="28"/>
                <w:szCs w:val="28"/>
              </w:rPr>
            </w:pPr>
          </w:p>
          <w:p>
            <w:pPr>
              <w:jc w:val="both"/>
              <w:rPr>
                <w:rFonts w:ascii="Times New Roman" w:hAnsi="Times New Roman" w:cs="Times New Roman"/>
                <w:color w:val="000080"/>
                <w:sz w:val="28"/>
                <w:szCs w:val="28"/>
              </w:rPr>
            </w:pPr>
          </w:p>
          <w:p>
            <w:pPr>
              <w:jc w:val="center"/>
              <w:rPr>
                <w:rFonts w:ascii="Times New Roman" w:hAnsi="Times New Roman" w:cs="Times New Roman"/>
                <w:color w:val="000080"/>
                <w:sz w:val="28"/>
                <w:szCs w:val="28"/>
              </w:rPr>
            </w:pPr>
          </w:p>
          <w:p>
            <w:pPr>
              <w:jc w:val="center"/>
              <w:rPr>
                <w:rFonts w:ascii="Times New Roman" w:hAnsi="Times New Roman" w:cs="Times New Roman"/>
                <w:sz w:val="28"/>
                <w:szCs w:val="28"/>
              </w:rPr>
            </w:pPr>
            <w:r>
              <w:rPr>
                <w:rFonts w:ascii="Times New Roman" w:hAnsi="Times New Roman" w:cs="Times New Roman"/>
                <w:color w:val="000080"/>
                <w:sz w:val="28"/>
                <w:szCs w:val="28"/>
              </w:rPr>
              <w:t>M2</w:t>
            </w:r>
          </w:p>
          <w:p>
            <w:pPr>
              <w:jc w:val="center"/>
              <w:rPr>
                <w:rFonts w:ascii="Times New Roman" w:hAnsi="Times New Roman" w:cs="Times New Roman"/>
                <w:color w:val="1F3864"/>
                <w:sz w:val="28"/>
                <w:szCs w:val="28"/>
              </w:rPr>
            </w:pPr>
            <w:r>
              <w:rPr>
                <w:rFonts w:ascii="Times New Roman" w:hAnsi="Times New Roman" w:cs="Times New Roman"/>
                <w:color w:val="1F3864"/>
                <w:sz w:val="28"/>
                <w:szCs w:val="28"/>
              </w:rPr>
              <w:t>M3</w:t>
            </w:r>
          </w:p>
        </w:tc>
      </w:tr>
      <w:tr>
        <w:tblPrEx>
          <w:tblCellMar>
            <w:top w:w="0" w:type="dxa"/>
            <w:left w:w="108" w:type="dxa"/>
            <w:bottom w:w="0" w:type="dxa"/>
            <w:right w:w="108" w:type="dxa"/>
          </w:tblCellMar>
        </w:tblPrEx>
        <w:trPr>
          <w:wBefore w:w="0" w:type="auto"/>
        </w:trPr>
        <w:tc>
          <w:tcPr>
            <w:tcW w:w="6236"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rPr>
                <w:rFonts w:ascii="Times New Roman" w:hAnsi="Times New Roman" w:cs="Times New Roman"/>
                <w:sz w:val="28"/>
                <w:szCs w:val="28"/>
              </w:rPr>
            </w:pPr>
            <w:r>
              <w:rPr>
                <w:rFonts w:ascii="Times New Roman" w:hAnsi="Times New Roman" w:cs="Times New Roman"/>
                <w:sz w:val="28"/>
                <w:szCs w:val="28"/>
              </w:rPr>
              <w:t xml:space="preserve">Cai de circulatie rurale cu trafic mai putin important si de acces în zonele rezidentiale.                                                                                    Controlul traficului si separarea benzilor de circulatie:                             </w:t>
            </w:r>
          </w:p>
          <w:p>
            <w:pPr>
              <w:rPr>
                <w:rFonts w:ascii="Times New Roman" w:hAnsi="Times New Roman" w:cs="Times New Roman"/>
                <w:sz w:val="28"/>
                <w:szCs w:val="28"/>
              </w:rPr>
            </w:pPr>
            <w:r>
              <w:rPr>
                <w:rFonts w:ascii="Times New Roman" w:hAnsi="Times New Roman" w:cs="Times New Roman"/>
                <w:sz w:val="28"/>
                <w:szCs w:val="28"/>
              </w:rPr>
              <w:t>Ridicate                                                                                                  Medie</w:t>
            </w:r>
          </w:p>
          <w:p>
            <w:pPr>
              <w:rPr>
                <w:rFonts w:ascii="Times New Roman" w:hAnsi="Times New Roman" w:cs="Times New Roman"/>
                <w:sz w:val="28"/>
                <w:szCs w:val="28"/>
              </w:rPr>
            </w:pPr>
            <w:r>
              <w:rPr>
                <w:rFonts w:ascii="Times New Roman" w:hAnsi="Times New Roman" w:cs="Times New Roman"/>
                <w:sz w:val="28"/>
                <w:szCs w:val="28"/>
              </w:rPr>
              <w:t>Scazute</w:t>
            </w:r>
          </w:p>
        </w:tc>
        <w:tc>
          <w:tcPr>
            <w:tcW w:w="2268"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color w:val="000080"/>
                <w:sz w:val="28"/>
                <w:szCs w:val="28"/>
              </w:rPr>
            </w:pPr>
          </w:p>
          <w:p>
            <w:pPr>
              <w:jc w:val="center"/>
              <w:rPr>
                <w:rFonts w:ascii="Times New Roman" w:hAnsi="Times New Roman" w:cs="Times New Roman"/>
                <w:color w:val="000080"/>
                <w:sz w:val="28"/>
                <w:szCs w:val="28"/>
              </w:rPr>
            </w:pPr>
          </w:p>
          <w:p>
            <w:pPr>
              <w:jc w:val="center"/>
              <w:rPr>
                <w:rFonts w:ascii="Times New Roman" w:hAnsi="Times New Roman" w:cs="Times New Roman"/>
                <w:color w:val="000080"/>
                <w:sz w:val="28"/>
                <w:szCs w:val="28"/>
              </w:rPr>
            </w:pPr>
          </w:p>
          <w:p>
            <w:pPr>
              <w:jc w:val="center"/>
              <w:rPr>
                <w:rFonts w:ascii="Times New Roman" w:hAnsi="Times New Roman" w:cs="Times New Roman"/>
                <w:color w:val="000080"/>
                <w:sz w:val="28"/>
                <w:szCs w:val="28"/>
              </w:rPr>
            </w:pPr>
          </w:p>
          <w:p>
            <w:pPr>
              <w:jc w:val="center"/>
              <w:rPr>
                <w:rFonts w:ascii="Times New Roman" w:hAnsi="Times New Roman" w:cs="Times New Roman"/>
                <w:color w:val="C00000"/>
                <w:sz w:val="28"/>
                <w:szCs w:val="28"/>
              </w:rPr>
            </w:pPr>
            <w:r>
              <w:rPr>
                <w:rFonts w:ascii="Times New Roman" w:hAnsi="Times New Roman" w:cs="Times New Roman"/>
                <w:color w:val="C00000"/>
                <w:sz w:val="28"/>
                <w:szCs w:val="28"/>
              </w:rPr>
              <w:t>M4</w:t>
            </w:r>
          </w:p>
          <w:p>
            <w:pPr>
              <w:jc w:val="center"/>
              <w:rPr>
                <w:rFonts w:ascii="Times New Roman" w:hAnsi="Times New Roman" w:cs="Times New Roman"/>
                <w:color w:val="C00000"/>
                <w:sz w:val="28"/>
                <w:szCs w:val="28"/>
              </w:rPr>
            </w:pPr>
            <w:r>
              <w:rPr>
                <w:rFonts w:ascii="Times New Roman" w:hAnsi="Times New Roman" w:cs="Times New Roman"/>
                <w:color w:val="C00000"/>
                <w:sz w:val="28"/>
                <w:szCs w:val="28"/>
              </w:rPr>
              <w:t>M5</w:t>
            </w:r>
          </w:p>
          <w:p>
            <w:pPr>
              <w:jc w:val="center"/>
              <w:rPr>
                <w:rFonts w:ascii="Times New Roman" w:hAnsi="Times New Roman" w:cs="Times New Roman"/>
                <w:sz w:val="28"/>
                <w:szCs w:val="28"/>
              </w:rPr>
            </w:pPr>
            <w:r>
              <w:rPr>
                <w:rFonts w:ascii="Times New Roman" w:hAnsi="Times New Roman" w:cs="Times New Roman"/>
                <w:color w:val="C00000"/>
                <w:sz w:val="28"/>
                <w:szCs w:val="28"/>
              </w:rPr>
              <w:t>M6</w:t>
            </w:r>
          </w:p>
        </w:tc>
      </w:tr>
    </w:tbl>
    <w:p>
      <w:pPr>
        <w:jc w:val="both"/>
        <w:rPr>
          <w:rFonts w:ascii="Times New Roman" w:hAnsi="Times New Roman" w:cs="Times New Roman"/>
          <w:sz w:val="28"/>
          <w:szCs w:val="28"/>
        </w:rPr>
      </w:pPr>
    </w:p>
    <w:p>
      <w:pPr>
        <w:jc w:val="center"/>
        <w:rPr>
          <w:rFonts w:ascii="Times New Roman" w:hAnsi="Times New Roman" w:cs="Times New Roman"/>
          <w:sz w:val="28"/>
          <w:szCs w:val="28"/>
        </w:rPr>
      </w:pPr>
      <w:r>
        <w:rPr>
          <w:rFonts w:ascii="Times New Roman" w:hAnsi="Times New Roman" w:cs="Times New Roman"/>
          <w:color w:val="000080"/>
          <w:sz w:val="28"/>
          <w:szCs w:val="28"/>
        </w:rPr>
        <w:t>Valorile mărimilor de referinţă (Lm , U0 , Ul , TI, SR)</w:t>
      </w:r>
    </w:p>
    <w:p>
      <w:pPr>
        <w:jc w:val="both"/>
        <w:rPr>
          <w:rFonts w:ascii="Times New Roman" w:hAnsi="Times New Roman" w:cs="Times New Roman"/>
          <w:sz w:val="28"/>
          <w:szCs w:val="28"/>
        </w:rPr>
      </w:pPr>
    </w:p>
    <w:tbl>
      <w:tblPr>
        <w:tblStyle w:val="7"/>
        <w:tblW w:w="0" w:type="auto"/>
        <w:tblInd w:w="1478" w:type="dxa"/>
        <w:tblLayout w:type="fixed"/>
        <w:tblCellMar>
          <w:top w:w="0" w:type="dxa"/>
          <w:left w:w="30" w:type="dxa"/>
          <w:bottom w:w="0" w:type="dxa"/>
          <w:right w:w="30" w:type="dxa"/>
        </w:tblCellMar>
      </w:tblPr>
      <w:tblGrid>
        <w:gridCol w:w="1275"/>
        <w:gridCol w:w="1134"/>
        <w:gridCol w:w="1134"/>
        <w:gridCol w:w="1134"/>
        <w:gridCol w:w="1133"/>
        <w:gridCol w:w="1134"/>
      </w:tblGrid>
      <w:tr>
        <w:tblPrEx>
          <w:tblCellMar>
            <w:top w:w="0" w:type="dxa"/>
            <w:left w:w="30" w:type="dxa"/>
            <w:bottom w:w="0" w:type="dxa"/>
            <w:right w:w="30" w:type="dxa"/>
          </w:tblCellMar>
        </w:tblPrEx>
        <w:trPr>
          <w:wBefore w:w="0" w:type="auto"/>
          <w:cantSplit/>
          <w:trHeight w:val="250" w:hRule="atLeast"/>
        </w:trPr>
        <w:tc>
          <w:tcPr>
            <w:tcW w:w="1275" w:type="dxa"/>
            <w:tcBorders>
              <w:top w:val="single" w:color="000000" w:sz="6" w:space="0"/>
              <w:left w:val="single" w:color="000000" w:sz="6" w:space="0"/>
              <w:right w:val="single" w:color="000000" w:sz="6" w:space="0"/>
            </w:tcBorders>
            <w:shd w:val="clear" w:color="auto" w:fill="auto"/>
            <w:noWrap w:val="0"/>
            <w:vAlign w:val="top"/>
          </w:tcPr>
          <w:p>
            <w:pPr>
              <w:jc w:val="center"/>
              <w:rPr>
                <w:rFonts w:ascii="Times New Roman" w:hAnsi="Times New Roman" w:cs="Times New Roman"/>
                <w:sz w:val="28"/>
                <w:szCs w:val="28"/>
              </w:rPr>
            </w:pPr>
            <w:r>
              <w:rPr>
                <w:rFonts w:ascii="Times New Roman" w:hAnsi="Times New Roman" w:cs="Times New Roman"/>
                <w:color w:val="000080"/>
                <w:sz w:val="28"/>
                <w:szCs w:val="28"/>
              </w:rPr>
              <w:t>Clasa sist. de iluminat</w:t>
            </w:r>
          </w:p>
        </w:tc>
        <w:tc>
          <w:tcPr>
            <w:tcW w:w="5669" w:type="dxa"/>
            <w:gridSpan w:val="5"/>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sz w:val="28"/>
                <w:szCs w:val="28"/>
              </w:rPr>
            </w:pPr>
            <w:r>
              <w:rPr>
                <w:rFonts w:ascii="Times New Roman" w:hAnsi="Times New Roman" w:cs="Times New Roman"/>
                <w:color w:val="000080"/>
                <w:sz w:val="28"/>
                <w:szCs w:val="28"/>
              </w:rPr>
              <w:t>Domeniul de aplicare</w:t>
            </w:r>
          </w:p>
        </w:tc>
      </w:tr>
      <w:tr>
        <w:tblPrEx>
          <w:tblCellMar>
            <w:top w:w="0" w:type="dxa"/>
            <w:left w:w="30" w:type="dxa"/>
            <w:bottom w:w="0" w:type="dxa"/>
            <w:right w:w="30" w:type="dxa"/>
          </w:tblCellMar>
        </w:tblPrEx>
        <w:trPr>
          <w:wBefore w:w="0" w:type="auto"/>
          <w:cantSplit/>
          <w:trHeight w:val="749" w:hRule="atLeast"/>
        </w:trPr>
        <w:tc>
          <w:tcPr>
            <w:tcW w:w="1275" w:type="dxa"/>
            <w:tcBorders>
              <w:left w:val="single" w:color="000000" w:sz="6" w:space="0"/>
              <w:right w:val="single" w:color="000000" w:sz="6" w:space="0"/>
            </w:tcBorders>
            <w:shd w:val="clear" w:color="auto" w:fill="auto"/>
            <w:noWrap w:val="0"/>
            <w:vAlign w:val="top"/>
          </w:tcPr>
          <w:p>
            <w:pPr>
              <w:jc w:val="center"/>
              <w:rPr>
                <w:rFonts w:ascii="Times New Roman" w:hAnsi="Times New Roman" w:cs="Times New Roman"/>
                <w:color w:val="000000"/>
                <w:sz w:val="28"/>
                <w:szCs w:val="28"/>
              </w:rPr>
            </w:pPr>
          </w:p>
        </w:tc>
        <w:tc>
          <w:tcPr>
            <w:tcW w:w="1134"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sz w:val="28"/>
                <w:szCs w:val="28"/>
              </w:rPr>
            </w:pPr>
            <w:r>
              <w:rPr>
                <w:rFonts w:ascii="Times New Roman" w:hAnsi="Times New Roman" w:cs="Times New Roman"/>
                <w:color w:val="000000"/>
                <w:sz w:val="28"/>
                <w:szCs w:val="28"/>
              </w:rPr>
              <w:t>Toate caile de circulaţie</w:t>
            </w:r>
          </w:p>
        </w:tc>
        <w:tc>
          <w:tcPr>
            <w:tcW w:w="2268" w:type="dxa"/>
            <w:gridSpan w:val="2"/>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sz w:val="28"/>
                <w:szCs w:val="28"/>
              </w:rPr>
            </w:pPr>
            <w:r>
              <w:rPr>
                <w:rFonts w:ascii="Times New Roman" w:hAnsi="Times New Roman" w:cs="Times New Roman"/>
                <w:color w:val="000000"/>
                <w:sz w:val="28"/>
                <w:szCs w:val="28"/>
              </w:rPr>
              <w:t>Toate caile de circulaţie</w:t>
            </w:r>
          </w:p>
          <w:p>
            <w:pPr>
              <w:jc w:val="center"/>
              <w:rPr>
                <w:rFonts w:ascii="Times New Roman" w:hAnsi="Times New Roman" w:cs="Times New Roman"/>
                <w:color w:val="000000"/>
                <w:sz w:val="28"/>
                <w:szCs w:val="28"/>
              </w:rPr>
            </w:pPr>
          </w:p>
        </w:tc>
        <w:tc>
          <w:tcPr>
            <w:tcW w:w="1133"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sz w:val="28"/>
                <w:szCs w:val="28"/>
              </w:rPr>
            </w:pPr>
            <w:r>
              <w:rPr>
                <w:rFonts w:ascii="Times New Roman" w:hAnsi="Times New Roman" w:cs="Times New Roman"/>
                <w:color w:val="000000"/>
                <w:sz w:val="28"/>
                <w:szCs w:val="28"/>
              </w:rPr>
              <w:t>Cai de circulaţie fără intersecţii</w:t>
            </w:r>
          </w:p>
        </w:tc>
        <w:tc>
          <w:tcPr>
            <w:tcW w:w="1134"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sz w:val="28"/>
                <w:szCs w:val="28"/>
              </w:rPr>
            </w:pPr>
            <w:r>
              <w:rPr>
                <w:rFonts w:ascii="Times New Roman" w:hAnsi="Times New Roman" w:cs="Times New Roman"/>
                <w:color w:val="000000"/>
                <w:sz w:val="28"/>
                <w:szCs w:val="28"/>
              </w:rPr>
              <w:t xml:space="preserve">Cai de circulaţie cu trotuar neluminat </w:t>
            </w:r>
          </w:p>
        </w:tc>
      </w:tr>
      <w:tr>
        <w:tblPrEx>
          <w:tblCellMar>
            <w:top w:w="0" w:type="dxa"/>
            <w:left w:w="30" w:type="dxa"/>
            <w:bottom w:w="0" w:type="dxa"/>
            <w:right w:w="30" w:type="dxa"/>
          </w:tblCellMar>
        </w:tblPrEx>
        <w:trPr>
          <w:wBefore w:w="0" w:type="auto"/>
          <w:trHeight w:val="749" w:hRule="atLeast"/>
        </w:trPr>
        <w:tc>
          <w:tcPr>
            <w:tcW w:w="1275" w:type="dxa"/>
            <w:tcBorders>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color w:val="000000"/>
                <w:sz w:val="28"/>
                <w:szCs w:val="28"/>
              </w:rPr>
            </w:pPr>
          </w:p>
        </w:tc>
        <w:tc>
          <w:tcPr>
            <w:tcW w:w="1134"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sz w:val="28"/>
                <w:szCs w:val="28"/>
              </w:rPr>
            </w:pPr>
            <w:r>
              <w:rPr>
                <w:rFonts w:ascii="Times New Roman" w:hAnsi="Times New Roman" w:cs="Times New Roman"/>
                <w:color w:val="000080"/>
                <w:sz w:val="28"/>
                <w:szCs w:val="28"/>
              </w:rPr>
              <w:t xml:space="preserve"> L</w:t>
            </w:r>
            <w:r>
              <w:rPr>
                <w:rFonts w:ascii="Times New Roman" w:hAnsi="Times New Roman" w:cs="Times New Roman"/>
                <w:i/>
                <w:color w:val="000080"/>
                <w:sz w:val="28"/>
                <w:szCs w:val="28"/>
              </w:rPr>
              <w:t xml:space="preserve">m </w:t>
            </w:r>
            <w:r>
              <w:rPr>
                <w:rFonts w:ascii="Times New Roman" w:hAnsi="Times New Roman" w:cs="Times New Roman"/>
                <w:color w:val="000080"/>
                <w:sz w:val="28"/>
                <w:szCs w:val="28"/>
              </w:rPr>
              <w:t xml:space="preserve">                                      s cd/m2 t                                     val.admisa </w:t>
            </w:r>
          </w:p>
        </w:tc>
        <w:tc>
          <w:tcPr>
            <w:tcW w:w="1134"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sz w:val="28"/>
                <w:szCs w:val="28"/>
              </w:rPr>
            </w:pPr>
            <w:r>
              <w:rPr>
                <w:rFonts w:ascii="Times New Roman" w:hAnsi="Times New Roman" w:cs="Times New Roman"/>
                <w:color w:val="000080"/>
                <w:sz w:val="28"/>
                <w:szCs w:val="28"/>
              </w:rPr>
              <w:t>U0                       val.min.</w:t>
            </w:r>
          </w:p>
        </w:tc>
        <w:tc>
          <w:tcPr>
            <w:tcW w:w="1134"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sz w:val="28"/>
                <w:szCs w:val="28"/>
              </w:rPr>
            </w:pPr>
            <w:r>
              <w:rPr>
                <w:rFonts w:ascii="Times New Roman" w:hAnsi="Times New Roman" w:cs="Times New Roman"/>
                <w:color w:val="000080"/>
                <w:sz w:val="28"/>
                <w:szCs w:val="28"/>
              </w:rPr>
              <w:t>TI%                                     val.max.</w:t>
            </w:r>
          </w:p>
        </w:tc>
        <w:tc>
          <w:tcPr>
            <w:tcW w:w="1133"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sz w:val="28"/>
                <w:szCs w:val="28"/>
              </w:rPr>
            </w:pPr>
            <w:r>
              <w:rPr>
                <w:rFonts w:ascii="Times New Roman" w:hAnsi="Times New Roman" w:cs="Times New Roman"/>
                <w:color w:val="000080"/>
                <w:sz w:val="28"/>
                <w:szCs w:val="28"/>
              </w:rPr>
              <w:t>Ul                        val.min.</w:t>
            </w:r>
          </w:p>
        </w:tc>
        <w:tc>
          <w:tcPr>
            <w:tcW w:w="1134"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sz w:val="28"/>
                <w:szCs w:val="28"/>
              </w:rPr>
            </w:pPr>
            <w:r>
              <w:rPr>
                <w:rFonts w:ascii="Times New Roman" w:hAnsi="Times New Roman" w:cs="Times New Roman"/>
                <w:color w:val="000080"/>
                <w:sz w:val="28"/>
                <w:szCs w:val="28"/>
              </w:rPr>
              <w:t>SR*                                             val.min.</w:t>
            </w:r>
          </w:p>
        </w:tc>
      </w:tr>
      <w:tr>
        <w:tblPrEx>
          <w:tblCellMar>
            <w:top w:w="0" w:type="dxa"/>
            <w:left w:w="30" w:type="dxa"/>
            <w:bottom w:w="0" w:type="dxa"/>
            <w:right w:w="30" w:type="dxa"/>
          </w:tblCellMar>
        </w:tblPrEx>
        <w:trPr>
          <w:wBefore w:w="0" w:type="auto"/>
          <w:trHeight w:val="250" w:hRule="atLeast"/>
        </w:trPr>
        <w:tc>
          <w:tcPr>
            <w:tcW w:w="1275"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sz w:val="28"/>
                <w:szCs w:val="28"/>
              </w:rPr>
            </w:pPr>
            <w:r>
              <w:rPr>
                <w:rFonts w:ascii="Times New Roman" w:hAnsi="Times New Roman" w:cs="Times New Roman"/>
                <w:color w:val="000080"/>
                <w:sz w:val="28"/>
                <w:szCs w:val="28"/>
              </w:rPr>
              <w:t>M1</w:t>
            </w:r>
          </w:p>
        </w:tc>
        <w:tc>
          <w:tcPr>
            <w:tcW w:w="1134"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sz w:val="28"/>
                <w:szCs w:val="28"/>
              </w:rPr>
            </w:pPr>
            <w:r>
              <w:rPr>
                <w:rFonts w:ascii="Times New Roman" w:hAnsi="Times New Roman" w:cs="Times New Roman"/>
                <w:color w:val="0000FF"/>
                <w:sz w:val="28"/>
                <w:szCs w:val="28"/>
              </w:rPr>
              <w:t>2</w:t>
            </w:r>
          </w:p>
        </w:tc>
        <w:tc>
          <w:tcPr>
            <w:tcW w:w="1134"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sz w:val="28"/>
                <w:szCs w:val="28"/>
              </w:rPr>
            </w:pPr>
            <w:r>
              <w:rPr>
                <w:rFonts w:ascii="Times New Roman" w:hAnsi="Times New Roman" w:cs="Times New Roman"/>
                <w:color w:val="0000FF"/>
                <w:sz w:val="28"/>
                <w:szCs w:val="28"/>
              </w:rPr>
              <w:t>0,4</w:t>
            </w:r>
          </w:p>
        </w:tc>
        <w:tc>
          <w:tcPr>
            <w:tcW w:w="1134"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sz w:val="28"/>
                <w:szCs w:val="28"/>
              </w:rPr>
            </w:pPr>
            <w:r>
              <w:rPr>
                <w:rFonts w:ascii="Times New Roman" w:hAnsi="Times New Roman" w:cs="Times New Roman"/>
                <w:color w:val="0000FF"/>
                <w:sz w:val="28"/>
                <w:szCs w:val="28"/>
              </w:rPr>
              <w:t>10</w:t>
            </w:r>
          </w:p>
        </w:tc>
        <w:tc>
          <w:tcPr>
            <w:tcW w:w="1133"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sz w:val="28"/>
                <w:szCs w:val="28"/>
              </w:rPr>
            </w:pPr>
            <w:r>
              <w:rPr>
                <w:rFonts w:ascii="Times New Roman" w:hAnsi="Times New Roman" w:cs="Times New Roman"/>
                <w:color w:val="0000FF"/>
                <w:sz w:val="28"/>
                <w:szCs w:val="28"/>
              </w:rPr>
              <w:t>0,7</w:t>
            </w:r>
          </w:p>
        </w:tc>
        <w:tc>
          <w:tcPr>
            <w:tcW w:w="1134"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sz w:val="28"/>
                <w:szCs w:val="28"/>
              </w:rPr>
            </w:pPr>
            <w:r>
              <w:rPr>
                <w:rFonts w:ascii="Times New Roman" w:hAnsi="Times New Roman" w:cs="Times New Roman"/>
                <w:color w:val="0000FF"/>
                <w:sz w:val="28"/>
                <w:szCs w:val="28"/>
              </w:rPr>
              <w:t>0,5</w:t>
            </w:r>
          </w:p>
        </w:tc>
      </w:tr>
      <w:tr>
        <w:tblPrEx>
          <w:tblCellMar>
            <w:top w:w="0" w:type="dxa"/>
            <w:left w:w="30" w:type="dxa"/>
            <w:bottom w:w="0" w:type="dxa"/>
            <w:right w:w="30" w:type="dxa"/>
          </w:tblCellMar>
        </w:tblPrEx>
        <w:trPr>
          <w:wBefore w:w="0" w:type="auto"/>
          <w:trHeight w:val="250" w:hRule="atLeast"/>
        </w:trPr>
        <w:tc>
          <w:tcPr>
            <w:tcW w:w="1275"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sz w:val="28"/>
                <w:szCs w:val="28"/>
              </w:rPr>
            </w:pPr>
            <w:r>
              <w:rPr>
                <w:rFonts w:ascii="Times New Roman" w:hAnsi="Times New Roman" w:cs="Times New Roman"/>
                <w:color w:val="000080"/>
                <w:sz w:val="28"/>
                <w:szCs w:val="28"/>
              </w:rPr>
              <w:t>M2</w:t>
            </w:r>
          </w:p>
        </w:tc>
        <w:tc>
          <w:tcPr>
            <w:tcW w:w="1134"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sz w:val="28"/>
                <w:szCs w:val="28"/>
              </w:rPr>
            </w:pPr>
            <w:r>
              <w:rPr>
                <w:rFonts w:ascii="Times New Roman" w:hAnsi="Times New Roman" w:cs="Times New Roman"/>
                <w:sz w:val="28"/>
                <w:szCs w:val="28"/>
              </w:rPr>
              <w:t>1,5</w:t>
            </w:r>
          </w:p>
        </w:tc>
        <w:tc>
          <w:tcPr>
            <w:tcW w:w="1134"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sz w:val="28"/>
                <w:szCs w:val="28"/>
              </w:rPr>
            </w:pPr>
            <w:r>
              <w:rPr>
                <w:rFonts w:ascii="Times New Roman" w:hAnsi="Times New Roman" w:cs="Times New Roman"/>
                <w:sz w:val="28"/>
                <w:szCs w:val="28"/>
              </w:rPr>
              <w:t>0,4</w:t>
            </w:r>
          </w:p>
        </w:tc>
        <w:tc>
          <w:tcPr>
            <w:tcW w:w="1134"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sz w:val="28"/>
                <w:szCs w:val="28"/>
              </w:rPr>
            </w:pPr>
            <w:r>
              <w:rPr>
                <w:rFonts w:ascii="Times New Roman" w:hAnsi="Times New Roman" w:cs="Times New Roman"/>
                <w:sz w:val="28"/>
                <w:szCs w:val="28"/>
              </w:rPr>
              <w:t>10</w:t>
            </w:r>
          </w:p>
        </w:tc>
        <w:tc>
          <w:tcPr>
            <w:tcW w:w="1133"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sz w:val="28"/>
                <w:szCs w:val="28"/>
              </w:rPr>
            </w:pPr>
            <w:r>
              <w:rPr>
                <w:rFonts w:ascii="Times New Roman" w:hAnsi="Times New Roman" w:cs="Times New Roman"/>
                <w:sz w:val="28"/>
                <w:szCs w:val="28"/>
              </w:rPr>
              <w:t>0,7</w:t>
            </w:r>
          </w:p>
        </w:tc>
        <w:tc>
          <w:tcPr>
            <w:tcW w:w="1134"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sz w:val="28"/>
                <w:szCs w:val="28"/>
              </w:rPr>
            </w:pPr>
            <w:r>
              <w:rPr>
                <w:rFonts w:ascii="Times New Roman" w:hAnsi="Times New Roman" w:cs="Times New Roman"/>
                <w:sz w:val="28"/>
                <w:szCs w:val="28"/>
              </w:rPr>
              <w:t>0,5</w:t>
            </w:r>
          </w:p>
        </w:tc>
      </w:tr>
      <w:tr>
        <w:tblPrEx>
          <w:tblCellMar>
            <w:top w:w="0" w:type="dxa"/>
            <w:left w:w="30" w:type="dxa"/>
            <w:bottom w:w="0" w:type="dxa"/>
            <w:right w:w="30" w:type="dxa"/>
          </w:tblCellMar>
        </w:tblPrEx>
        <w:trPr>
          <w:wBefore w:w="0" w:type="auto"/>
          <w:trHeight w:val="250" w:hRule="atLeast"/>
        </w:trPr>
        <w:tc>
          <w:tcPr>
            <w:tcW w:w="1275"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color w:val="222A35"/>
                <w:sz w:val="28"/>
                <w:szCs w:val="28"/>
              </w:rPr>
            </w:pPr>
            <w:r>
              <w:rPr>
                <w:rFonts w:ascii="Times New Roman" w:hAnsi="Times New Roman" w:cs="Times New Roman"/>
                <w:color w:val="222A35"/>
                <w:sz w:val="28"/>
                <w:szCs w:val="28"/>
              </w:rPr>
              <w:t>M3</w:t>
            </w:r>
          </w:p>
        </w:tc>
        <w:tc>
          <w:tcPr>
            <w:tcW w:w="1134"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color w:val="222A35"/>
                <w:sz w:val="28"/>
                <w:szCs w:val="28"/>
              </w:rPr>
            </w:pPr>
            <w:r>
              <w:rPr>
                <w:rFonts w:ascii="Times New Roman" w:hAnsi="Times New Roman" w:cs="Times New Roman"/>
                <w:color w:val="222A35"/>
                <w:sz w:val="28"/>
                <w:szCs w:val="28"/>
              </w:rPr>
              <w:t>1</w:t>
            </w:r>
          </w:p>
        </w:tc>
        <w:tc>
          <w:tcPr>
            <w:tcW w:w="1134"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color w:val="222A35"/>
                <w:sz w:val="28"/>
                <w:szCs w:val="28"/>
              </w:rPr>
            </w:pPr>
            <w:r>
              <w:rPr>
                <w:rFonts w:ascii="Times New Roman" w:hAnsi="Times New Roman" w:cs="Times New Roman"/>
                <w:color w:val="222A35"/>
                <w:sz w:val="28"/>
                <w:szCs w:val="28"/>
              </w:rPr>
              <w:t>0,4</w:t>
            </w:r>
          </w:p>
        </w:tc>
        <w:tc>
          <w:tcPr>
            <w:tcW w:w="1134"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color w:val="222A35"/>
                <w:sz w:val="28"/>
                <w:szCs w:val="28"/>
              </w:rPr>
            </w:pPr>
            <w:r>
              <w:rPr>
                <w:rFonts w:ascii="Times New Roman" w:hAnsi="Times New Roman" w:cs="Times New Roman"/>
                <w:color w:val="222A35"/>
                <w:sz w:val="28"/>
                <w:szCs w:val="28"/>
              </w:rPr>
              <w:t>10</w:t>
            </w:r>
          </w:p>
        </w:tc>
        <w:tc>
          <w:tcPr>
            <w:tcW w:w="1133"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color w:val="222A35"/>
                <w:sz w:val="28"/>
                <w:szCs w:val="28"/>
              </w:rPr>
            </w:pPr>
            <w:r>
              <w:rPr>
                <w:rFonts w:ascii="Times New Roman" w:hAnsi="Times New Roman" w:cs="Times New Roman"/>
                <w:color w:val="222A35"/>
                <w:sz w:val="28"/>
                <w:szCs w:val="28"/>
              </w:rPr>
              <w:t>0,5</w:t>
            </w:r>
          </w:p>
        </w:tc>
        <w:tc>
          <w:tcPr>
            <w:tcW w:w="1134"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color w:val="222A35"/>
                <w:sz w:val="28"/>
                <w:szCs w:val="28"/>
              </w:rPr>
            </w:pPr>
            <w:r>
              <w:rPr>
                <w:rFonts w:ascii="Times New Roman" w:hAnsi="Times New Roman" w:cs="Times New Roman"/>
                <w:color w:val="222A35"/>
                <w:sz w:val="28"/>
                <w:szCs w:val="28"/>
              </w:rPr>
              <w:t>0,5</w:t>
            </w:r>
          </w:p>
        </w:tc>
      </w:tr>
      <w:tr>
        <w:tblPrEx>
          <w:tblCellMar>
            <w:top w:w="0" w:type="dxa"/>
            <w:left w:w="30" w:type="dxa"/>
            <w:bottom w:w="0" w:type="dxa"/>
            <w:right w:w="30" w:type="dxa"/>
          </w:tblCellMar>
        </w:tblPrEx>
        <w:trPr>
          <w:wBefore w:w="0" w:type="auto"/>
          <w:trHeight w:val="250" w:hRule="atLeast"/>
        </w:trPr>
        <w:tc>
          <w:tcPr>
            <w:tcW w:w="1275"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color w:val="C00000"/>
                <w:sz w:val="28"/>
                <w:szCs w:val="28"/>
              </w:rPr>
            </w:pPr>
            <w:r>
              <w:rPr>
                <w:rFonts w:ascii="Times New Roman" w:hAnsi="Times New Roman" w:cs="Times New Roman"/>
                <w:color w:val="C00000"/>
                <w:sz w:val="28"/>
                <w:szCs w:val="28"/>
              </w:rPr>
              <w:t>M4</w:t>
            </w:r>
          </w:p>
        </w:tc>
        <w:tc>
          <w:tcPr>
            <w:tcW w:w="1134"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color w:val="C00000"/>
                <w:sz w:val="28"/>
                <w:szCs w:val="28"/>
              </w:rPr>
            </w:pPr>
            <w:r>
              <w:rPr>
                <w:rFonts w:ascii="Times New Roman" w:hAnsi="Times New Roman" w:cs="Times New Roman"/>
                <w:color w:val="C00000"/>
                <w:sz w:val="28"/>
                <w:szCs w:val="28"/>
              </w:rPr>
              <w:t>0,75</w:t>
            </w:r>
          </w:p>
        </w:tc>
        <w:tc>
          <w:tcPr>
            <w:tcW w:w="1134"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color w:val="C00000"/>
                <w:sz w:val="28"/>
                <w:szCs w:val="28"/>
              </w:rPr>
            </w:pPr>
            <w:r>
              <w:rPr>
                <w:rFonts w:ascii="Times New Roman" w:hAnsi="Times New Roman" w:cs="Times New Roman"/>
                <w:color w:val="C00000"/>
                <w:sz w:val="28"/>
                <w:szCs w:val="28"/>
              </w:rPr>
              <w:t>0,4</w:t>
            </w:r>
          </w:p>
        </w:tc>
        <w:tc>
          <w:tcPr>
            <w:tcW w:w="1134"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color w:val="C00000"/>
                <w:sz w:val="28"/>
                <w:szCs w:val="28"/>
              </w:rPr>
            </w:pPr>
            <w:r>
              <w:rPr>
                <w:rFonts w:ascii="Times New Roman" w:hAnsi="Times New Roman" w:cs="Times New Roman"/>
                <w:color w:val="C00000"/>
                <w:sz w:val="28"/>
                <w:szCs w:val="28"/>
              </w:rPr>
              <w:t>13</w:t>
            </w:r>
          </w:p>
        </w:tc>
        <w:tc>
          <w:tcPr>
            <w:tcW w:w="1133"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color w:val="C00000"/>
                <w:sz w:val="28"/>
                <w:szCs w:val="28"/>
              </w:rPr>
            </w:pPr>
            <w:r>
              <w:rPr>
                <w:rFonts w:ascii="Times New Roman" w:hAnsi="Times New Roman" w:cs="Times New Roman"/>
                <w:color w:val="C00000"/>
                <w:sz w:val="28"/>
                <w:szCs w:val="28"/>
              </w:rPr>
              <w:t>0,5</w:t>
            </w:r>
          </w:p>
        </w:tc>
        <w:tc>
          <w:tcPr>
            <w:tcW w:w="1134"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color w:val="C00000"/>
                <w:sz w:val="28"/>
                <w:szCs w:val="28"/>
              </w:rPr>
            </w:pPr>
            <w:r>
              <w:rPr>
                <w:rFonts w:ascii="Times New Roman" w:hAnsi="Times New Roman" w:cs="Times New Roman"/>
                <w:color w:val="C00000"/>
                <w:sz w:val="28"/>
                <w:szCs w:val="28"/>
              </w:rPr>
              <w:t>0,5</w:t>
            </w:r>
          </w:p>
        </w:tc>
      </w:tr>
      <w:tr>
        <w:tblPrEx>
          <w:tblCellMar>
            <w:top w:w="0" w:type="dxa"/>
            <w:left w:w="30" w:type="dxa"/>
            <w:bottom w:w="0" w:type="dxa"/>
            <w:right w:w="30" w:type="dxa"/>
          </w:tblCellMar>
        </w:tblPrEx>
        <w:trPr>
          <w:wBefore w:w="0" w:type="auto"/>
          <w:trHeight w:val="250" w:hRule="atLeast"/>
        </w:trPr>
        <w:tc>
          <w:tcPr>
            <w:tcW w:w="1275"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color w:val="FF0000"/>
                <w:sz w:val="28"/>
                <w:szCs w:val="28"/>
              </w:rPr>
            </w:pPr>
            <w:r>
              <w:rPr>
                <w:rFonts w:ascii="Times New Roman" w:hAnsi="Times New Roman" w:cs="Times New Roman"/>
                <w:color w:val="FF0000"/>
                <w:sz w:val="28"/>
                <w:szCs w:val="28"/>
              </w:rPr>
              <w:t>M5</w:t>
            </w:r>
          </w:p>
        </w:tc>
        <w:tc>
          <w:tcPr>
            <w:tcW w:w="1134"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color w:val="FF0000"/>
                <w:sz w:val="28"/>
                <w:szCs w:val="28"/>
              </w:rPr>
            </w:pPr>
            <w:r>
              <w:rPr>
                <w:rFonts w:ascii="Times New Roman" w:hAnsi="Times New Roman" w:cs="Times New Roman"/>
                <w:color w:val="FF0000"/>
                <w:sz w:val="28"/>
                <w:szCs w:val="28"/>
              </w:rPr>
              <w:t>0,5</w:t>
            </w:r>
          </w:p>
        </w:tc>
        <w:tc>
          <w:tcPr>
            <w:tcW w:w="1134"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color w:val="FF0000"/>
                <w:sz w:val="28"/>
                <w:szCs w:val="28"/>
              </w:rPr>
            </w:pPr>
            <w:r>
              <w:rPr>
                <w:rFonts w:ascii="Times New Roman" w:hAnsi="Times New Roman" w:cs="Times New Roman"/>
                <w:color w:val="FF0000"/>
                <w:sz w:val="28"/>
                <w:szCs w:val="28"/>
              </w:rPr>
              <w:t>0,4</w:t>
            </w:r>
          </w:p>
        </w:tc>
        <w:tc>
          <w:tcPr>
            <w:tcW w:w="1134"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color w:val="FF0000"/>
                <w:sz w:val="28"/>
                <w:szCs w:val="28"/>
              </w:rPr>
            </w:pPr>
            <w:r>
              <w:rPr>
                <w:rFonts w:ascii="Times New Roman" w:hAnsi="Times New Roman" w:cs="Times New Roman"/>
                <w:color w:val="FF0000"/>
                <w:sz w:val="28"/>
                <w:szCs w:val="28"/>
              </w:rPr>
              <w:t>15</w:t>
            </w:r>
          </w:p>
        </w:tc>
        <w:tc>
          <w:tcPr>
            <w:tcW w:w="1133"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color w:val="FF0000"/>
                <w:sz w:val="28"/>
                <w:szCs w:val="28"/>
              </w:rPr>
            </w:pPr>
            <w:r>
              <w:rPr>
                <w:rFonts w:ascii="Times New Roman" w:hAnsi="Times New Roman" w:cs="Times New Roman"/>
                <w:color w:val="FF0000"/>
                <w:sz w:val="28"/>
                <w:szCs w:val="28"/>
              </w:rPr>
              <w:t>-</w:t>
            </w:r>
          </w:p>
        </w:tc>
        <w:tc>
          <w:tcPr>
            <w:tcW w:w="1134"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color w:val="FF0000"/>
                <w:sz w:val="28"/>
                <w:szCs w:val="28"/>
              </w:rPr>
            </w:pPr>
            <w:r>
              <w:rPr>
                <w:rFonts w:ascii="Times New Roman" w:hAnsi="Times New Roman" w:cs="Times New Roman"/>
                <w:color w:val="FF0000"/>
                <w:sz w:val="28"/>
                <w:szCs w:val="28"/>
              </w:rPr>
              <w:t>-</w:t>
            </w:r>
          </w:p>
        </w:tc>
      </w:tr>
      <w:tr>
        <w:tblPrEx>
          <w:tblCellMar>
            <w:top w:w="0" w:type="dxa"/>
            <w:left w:w="30" w:type="dxa"/>
            <w:bottom w:w="0" w:type="dxa"/>
            <w:right w:w="30" w:type="dxa"/>
          </w:tblCellMar>
        </w:tblPrEx>
        <w:trPr>
          <w:wBefore w:w="0" w:type="auto"/>
          <w:trHeight w:val="250" w:hRule="atLeast"/>
        </w:trPr>
        <w:tc>
          <w:tcPr>
            <w:tcW w:w="1275"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color w:val="FF0000"/>
                <w:sz w:val="28"/>
                <w:szCs w:val="28"/>
              </w:rPr>
            </w:pPr>
            <w:r>
              <w:rPr>
                <w:rFonts w:ascii="Times New Roman" w:hAnsi="Times New Roman" w:cs="Times New Roman"/>
                <w:color w:val="FF0000"/>
                <w:sz w:val="28"/>
                <w:szCs w:val="28"/>
              </w:rPr>
              <w:t>M6</w:t>
            </w:r>
          </w:p>
        </w:tc>
        <w:tc>
          <w:tcPr>
            <w:tcW w:w="1134"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color w:val="FF0000"/>
                <w:sz w:val="28"/>
                <w:szCs w:val="28"/>
              </w:rPr>
            </w:pPr>
            <w:r>
              <w:rPr>
                <w:rFonts w:ascii="Times New Roman" w:hAnsi="Times New Roman" w:cs="Times New Roman"/>
                <w:color w:val="FF0000"/>
                <w:sz w:val="28"/>
                <w:szCs w:val="28"/>
              </w:rPr>
              <w:t>0,3</w:t>
            </w:r>
          </w:p>
        </w:tc>
        <w:tc>
          <w:tcPr>
            <w:tcW w:w="1134"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color w:val="FF0000"/>
                <w:sz w:val="28"/>
                <w:szCs w:val="28"/>
              </w:rPr>
            </w:pPr>
            <w:r>
              <w:rPr>
                <w:rFonts w:ascii="Times New Roman" w:hAnsi="Times New Roman" w:cs="Times New Roman"/>
                <w:color w:val="FF0000"/>
                <w:sz w:val="28"/>
                <w:szCs w:val="28"/>
              </w:rPr>
              <w:t>0,4</w:t>
            </w:r>
          </w:p>
        </w:tc>
        <w:tc>
          <w:tcPr>
            <w:tcW w:w="1134"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color w:val="FF0000"/>
                <w:sz w:val="28"/>
                <w:szCs w:val="28"/>
              </w:rPr>
            </w:pPr>
            <w:r>
              <w:rPr>
                <w:rFonts w:ascii="Times New Roman" w:hAnsi="Times New Roman" w:cs="Times New Roman"/>
                <w:color w:val="FF0000"/>
                <w:sz w:val="28"/>
                <w:szCs w:val="28"/>
              </w:rPr>
              <w:t>15</w:t>
            </w:r>
          </w:p>
        </w:tc>
        <w:tc>
          <w:tcPr>
            <w:tcW w:w="1133"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color w:val="FF0000"/>
                <w:sz w:val="28"/>
                <w:szCs w:val="28"/>
              </w:rPr>
            </w:pPr>
            <w:r>
              <w:rPr>
                <w:rFonts w:ascii="Times New Roman" w:hAnsi="Times New Roman" w:cs="Times New Roman"/>
                <w:color w:val="FF0000"/>
                <w:sz w:val="28"/>
                <w:szCs w:val="28"/>
              </w:rPr>
              <w:t>-</w:t>
            </w:r>
          </w:p>
        </w:tc>
        <w:tc>
          <w:tcPr>
            <w:tcW w:w="1134"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color w:val="FF0000"/>
                <w:sz w:val="28"/>
                <w:szCs w:val="28"/>
              </w:rPr>
            </w:pPr>
            <w:r>
              <w:rPr>
                <w:rFonts w:ascii="Times New Roman" w:hAnsi="Times New Roman" w:cs="Times New Roman"/>
                <w:color w:val="FF0000"/>
                <w:sz w:val="28"/>
                <w:szCs w:val="28"/>
              </w:rPr>
              <w:t>-</w:t>
            </w:r>
          </w:p>
        </w:tc>
      </w:tr>
    </w:tbl>
    <w:p>
      <w:pPr>
        <w:tabs>
          <w:tab w:val="left" w:pos="1440"/>
        </w:tabs>
        <w:spacing w:line="240" w:lineRule="auto"/>
        <w:ind w:right="-180"/>
        <w:jc w:val="both"/>
        <w:rPr>
          <w:rFonts w:ascii="Times New Roman" w:hAnsi="Times New Roman" w:eastAsia="Times New Roman" w:cs="Times New Roman"/>
          <w:color w:val="000000"/>
          <w:sz w:val="28"/>
          <w:szCs w:val="28"/>
        </w:rPr>
      </w:pPr>
    </w:p>
    <w:p>
      <w:pPr>
        <w:tabs>
          <w:tab w:val="left" w:pos="14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
          <w:bCs/>
          <w:color w:val="000000"/>
          <w:sz w:val="28"/>
          <w:szCs w:val="28"/>
        </w:rPr>
        <w:t xml:space="preserve">Art.15 </w:t>
      </w:r>
      <w:r>
        <w:rPr>
          <w:rFonts w:ascii="Times New Roman" w:hAnsi="Times New Roman" w:eastAsia="Times New Roman" w:cs="Times New Roman"/>
          <w:bCs/>
          <w:color w:val="000000"/>
          <w:sz w:val="28"/>
          <w:szCs w:val="28"/>
        </w:rPr>
        <w:t xml:space="preserve">Fișe tehnice completate pentru echipamete </w:t>
      </w:r>
    </w:p>
    <w:p>
      <w:pPr>
        <w:tabs>
          <w:tab w:val="left" w:pos="14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Cs/>
          <w:color w:val="000000"/>
          <w:sz w:val="28"/>
          <w:szCs w:val="28"/>
        </w:rPr>
        <w:t>a) Se va prezenta pentru fiecare tip de echipament solicitat în caietul de sarcini fișe tehnice– anexa  la prezentul caiet de sarcini – care să conțina o coloana cu cerințele caietului de sarcini și o coloană cu caracteristicele echipamanetelor ofertate, descrise detaliat fără a utiliza expresii de tipul “DA”, “CONFORM”, etc. Caracteristicile echipamentelor ofertate trebuie să îndeplinescă întocmai sau să fie superioare celor solicitate. Declarațiile ofertanților vor fi dovedite prin prezentarea de fise de catalog alături de certificate, rapoarte de încercări, mostre sau alte documente avizate din care să reiasă cele declarate.</w:t>
      </w:r>
      <w:r>
        <w:rPr>
          <w:rFonts w:ascii="Times New Roman" w:hAnsi="Times New Roman" w:cs="Times New Roman"/>
          <w:sz w:val="28"/>
          <w:szCs w:val="28"/>
        </w:rPr>
        <w:t xml:space="preserve"> </w:t>
      </w:r>
      <w:r>
        <w:rPr>
          <w:rFonts w:ascii="Times New Roman" w:hAnsi="Times New Roman" w:eastAsia="Times New Roman" w:cs="Times New Roman"/>
          <w:bCs/>
          <w:color w:val="000000"/>
          <w:sz w:val="28"/>
          <w:szCs w:val="28"/>
        </w:rPr>
        <w:t>De asemenea se va prezenta fișa producătorului în original și traducerea în limba română.</w:t>
      </w:r>
    </w:p>
    <w:p>
      <w:pPr>
        <w:tabs>
          <w:tab w:val="left" w:pos="14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Cs/>
          <w:color w:val="000000"/>
          <w:sz w:val="28"/>
          <w:szCs w:val="28"/>
        </w:rPr>
        <w:t>b) Ofertanții care nu prezintă fișele tehnice, sau care nu îndeplinesc cerințele minime ale echipametelor solicitate prin caietul de sarcini vor fi descalificați.</w:t>
      </w:r>
    </w:p>
    <w:p>
      <w:pPr>
        <w:tabs>
          <w:tab w:val="left" w:pos="14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
          <w:bCs/>
          <w:color w:val="000000"/>
          <w:sz w:val="28"/>
          <w:szCs w:val="28"/>
        </w:rPr>
        <w:t xml:space="preserve">Art.16 </w:t>
      </w:r>
      <w:r>
        <w:rPr>
          <w:rFonts w:ascii="Times New Roman" w:hAnsi="Times New Roman" w:eastAsia="Times New Roman" w:cs="Times New Roman"/>
          <w:color w:val="000000"/>
          <w:sz w:val="28"/>
          <w:szCs w:val="28"/>
        </w:rPr>
        <w:t>Inventarul zonelor de risc</w:t>
      </w:r>
    </w:p>
    <w:p>
      <w:pPr>
        <w:pStyle w:val="347"/>
        <w:tabs>
          <w:tab w:val="clear" w:pos="360"/>
        </w:tabs>
        <w:ind w:firstLine="720"/>
        <w:rPr>
          <w:rFonts w:ascii="Times New Roman" w:hAnsi="Times New Roman" w:cs="Times New Roman"/>
          <w:sz w:val="28"/>
          <w:szCs w:val="28"/>
        </w:rPr>
      </w:pPr>
    </w:p>
    <w:p>
      <w:pPr>
        <w:jc w:val="center"/>
        <w:rPr>
          <w:rFonts w:ascii="Times New Roman" w:hAnsi="Times New Roman" w:cs="Times New Roman"/>
          <w:sz w:val="28"/>
          <w:szCs w:val="28"/>
        </w:rPr>
      </w:pPr>
      <w:r>
        <w:rPr>
          <w:rFonts w:ascii="Times New Roman" w:hAnsi="Times New Roman" w:cs="Times New Roman"/>
          <w:color w:val="000080"/>
          <w:sz w:val="28"/>
          <w:szCs w:val="28"/>
        </w:rPr>
        <w:t>Clasele sistemelor de iluminat pentru diferite tipuri de zone</w:t>
      </w:r>
    </w:p>
    <w:p>
      <w:pPr>
        <w:jc w:val="center"/>
        <w:rPr>
          <w:rFonts w:ascii="Times New Roman" w:hAnsi="Times New Roman" w:cs="Times New Roman"/>
          <w:sz w:val="28"/>
          <w:szCs w:val="28"/>
        </w:rPr>
      </w:pPr>
    </w:p>
    <w:tbl>
      <w:tblPr>
        <w:tblStyle w:val="7"/>
        <w:tblW w:w="0" w:type="auto"/>
        <w:tblInd w:w="1634" w:type="dxa"/>
        <w:tblLayout w:type="fixed"/>
        <w:tblCellMar>
          <w:top w:w="0" w:type="dxa"/>
          <w:left w:w="108" w:type="dxa"/>
          <w:bottom w:w="0" w:type="dxa"/>
          <w:right w:w="108" w:type="dxa"/>
        </w:tblCellMar>
      </w:tblPr>
      <w:tblGrid>
        <w:gridCol w:w="5102"/>
        <w:gridCol w:w="2268"/>
      </w:tblGrid>
      <w:tr>
        <w:tblPrEx>
          <w:tblCellMar>
            <w:top w:w="0" w:type="dxa"/>
            <w:left w:w="108" w:type="dxa"/>
            <w:bottom w:w="0" w:type="dxa"/>
            <w:right w:w="108" w:type="dxa"/>
          </w:tblCellMar>
        </w:tblPrEx>
        <w:trPr>
          <w:wBefore w:w="0" w:type="auto"/>
        </w:trPr>
        <w:tc>
          <w:tcPr>
            <w:tcW w:w="5102"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sz w:val="28"/>
                <w:szCs w:val="28"/>
              </w:rPr>
            </w:pPr>
            <w:r>
              <w:rPr>
                <w:rFonts w:ascii="Times New Roman" w:hAnsi="Times New Roman" w:cs="Times New Roman"/>
                <w:color w:val="000080"/>
                <w:sz w:val="28"/>
                <w:szCs w:val="28"/>
              </w:rPr>
              <w:t xml:space="preserve">Tipul </w:t>
            </w:r>
          </w:p>
          <w:p>
            <w:pPr>
              <w:jc w:val="center"/>
              <w:rPr>
                <w:rFonts w:ascii="Times New Roman" w:hAnsi="Times New Roman" w:cs="Times New Roman"/>
                <w:sz w:val="28"/>
                <w:szCs w:val="28"/>
              </w:rPr>
            </w:pPr>
            <w:r>
              <w:rPr>
                <w:rFonts w:ascii="Times New Roman" w:hAnsi="Times New Roman" w:cs="Times New Roman"/>
                <w:color w:val="000080"/>
                <w:sz w:val="28"/>
                <w:szCs w:val="28"/>
              </w:rPr>
              <w:t>zonei periculoase</w:t>
            </w:r>
          </w:p>
        </w:tc>
        <w:tc>
          <w:tcPr>
            <w:tcW w:w="2268"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sz w:val="28"/>
                <w:szCs w:val="28"/>
              </w:rPr>
            </w:pPr>
            <w:r>
              <w:rPr>
                <w:rFonts w:ascii="Times New Roman" w:hAnsi="Times New Roman" w:cs="Times New Roman"/>
                <w:color w:val="000080"/>
                <w:sz w:val="28"/>
                <w:szCs w:val="28"/>
              </w:rPr>
              <w:t>Clasa sistemului de iluminat corespunzator</w:t>
            </w:r>
          </w:p>
        </w:tc>
      </w:tr>
      <w:tr>
        <w:tblPrEx>
          <w:tblCellMar>
            <w:top w:w="0" w:type="dxa"/>
            <w:left w:w="108" w:type="dxa"/>
            <w:bottom w:w="0" w:type="dxa"/>
            <w:right w:w="108" w:type="dxa"/>
          </w:tblCellMar>
        </w:tblPrEx>
        <w:trPr>
          <w:wBefore w:w="0" w:type="auto"/>
        </w:trPr>
        <w:tc>
          <w:tcPr>
            <w:tcW w:w="5102"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pStyle w:val="13"/>
              <w:rPr>
                <w:sz w:val="28"/>
                <w:szCs w:val="28"/>
              </w:rPr>
            </w:pPr>
            <w:r>
              <w:rPr>
                <w:sz w:val="28"/>
                <w:szCs w:val="28"/>
              </w:rPr>
              <w:t>Intersectii de doua sau mai multe cai de circulatie, rampe, zone în care se face reducerea numarului de benzi de circulatie</w:t>
            </w:r>
          </w:p>
        </w:tc>
        <w:tc>
          <w:tcPr>
            <w:tcW w:w="2268"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color w:val="000080"/>
                <w:sz w:val="28"/>
                <w:szCs w:val="28"/>
              </w:rPr>
            </w:pPr>
          </w:p>
          <w:p>
            <w:pPr>
              <w:jc w:val="center"/>
              <w:rPr>
                <w:rFonts w:ascii="Times New Roman" w:hAnsi="Times New Roman" w:cs="Times New Roman"/>
                <w:sz w:val="28"/>
                <w:szCs w:val="28"/>
              </w:rPr>
            </w:pPr>
            <w:r>
              <w:rPr>
                <w:rFonts w:ascii="Times New Roman" w:hAnsi="Times New Roman" w:cs="Times New Roman"/>
                <w:color w:val="000080"/>
                <w:sz w:val="28"/>
                <w:szCs w:val="28"/>
              </w:rPr>
              <w:t>C (i – 1) =Mi</w:t>
            </w:r>
          </w:p>
          <w:p>
            <w:pPr>
              <w:jc w:val="center"/>
              <w:rPr>
                <w:rFonts w:ascii="Times New Roman" w:hAnsi="Times New Roman" w:cs="Times New Roman"/>
                <w:color w:val="000080"/>
                <w:sz w:val="28"/>
                <w:szCs w:val="28"/>
              </w:rPr>
            </w:pPr>
          </w:p>
          <w:p>
            <w:pPr>
              <w:jc w:val="center"/>
              <w:rPr>
                <w:rFonts w:ascii="Times New Roman" w:hAnsi="Times New Roman" w:cs="Times New Roman"/>
                <w:sz w:val="28"/>
                <w:szCs w:val="28"/>
              </w:rPr>
            </w:pPr>
            <w:r>
              <w:rPr>
                <w:rFonts w:ascii="Times New Roman" w:hAnsi="Times New Roman" w:cs="Times New Roman"/>
                <w:color w:val="FF0000"/>
                <w:sz w:val="28"/>
                <w:szCs w:val="28"/>
              </w:rPr>
              <w:t>Ci = Mi</w:t>
            </w:r>
          </w:p>
        </w:tc>
      </w:tr>
      <w:tr>
        <w:tblPrEx>
          <w:tblCellMar>
            <w:top w:w="0" w:type="dxa"/>
            <w:left w:w="108" w:type="dxa"/>
            <w:bottom w:w="0" w:type="dxa"/>
            <w:right w:w="108" w:type="dxa"/>
          </w:tblCellMar>
        </w:tblPrEx>
        <w:trPr>
          <w:wBefore w:w="0" w:type="auto"/>
          <w:trHeight w:val="1597" w:hRule="atLeast"/>
        </w:trPr>
        <w:tc>
          <w:tcPr>
            <w:tcW w:w="5102"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pStyle w:val="13"/>
              <w:rPr>
                <w:sz w:val="28"/>
                <w:szCs w:val="28"/>
              </w:rPr>
            </w:pPr>
            <w:r>
              <w:rPr>
                <w:sz w:val="28"/>
                <w:szCs w:val="28"/>
              </w:rPr>
              <w:t>Treceri de pietoni semnalizate și lipsa trotuarelor</w:t>
            </w:r>
          </w:p>
        </w:tc>
        <w:tc>
          <w:tcPr>
            <w:tcW w:w="2268"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color w:val="000080"/>
                <w:sz w:val="28"/>
                <w:szCs w:val="28"/>
              </w:rPr>
            </w:pPr>
          </w:p>
          <w:p>
            <w:pPr>
              <w:jc w:val="center"/>
              <w:rPr>
                <w:rFonts w:ascii="Times New Roman" w:hAnsi="Times New Roman" w:cs="Times New Roman"/>
                <w:color w:val="000080"/>
                <w:sz w:val="28"/>
                <w:szCs w:val="28"/>
              </w:rPr>
            </w:pPr>
          </w:p>
          <w:p>
            <w:pPr>
              <w:jc w:val="center"/>
              <w:rPr>
                <w:rFonts w:ascii="Times New Roman" w:hAnsi="Times New Roman" w:cs="Times New Roman"/>
                <w:sz w:val="28"/>
                <w:szCs w:val="28"/>
              </w:rPr>
            </w:pPr>
            <w:r>
              <w:rPr>
                <w:rFonts w:ascii="Times New Roman" w:hAnsi="Times New Roman" w:cs="Times New Roman"/>
                <w:color w:val="FF0000"/>
                <w:sz w:val="28"/>
                <w:szCs w:val="28"/>
              </w:rPr>
              <w:t>Ci = Mi</w:t>
            </w:r>
          </w:p>
          <w:p>
            <w:pPr>
              <w:jc w:val="center"/>
              <w:rPr>
                <w:rFonts w:ascii="Times New Roman" w:hAnsi="Times New Roman" w:cs="Times New Roman"/>
                <w:color w:val="000080"/>
                <w:sz w:val="28"/>
                <w:szCs w:val="28"/>
              </w:rPr>
            </w:pPr>
          </w:p>
          <w:p>
            <w:pPr>
              <w:rPr>
                <w:rFonts w:ascii="Times New Roman" w:hAnsi="Times New Roman" w:cs="Times New Roman"/>
                <w:sz w:val="28"/>
                <w:szCs w:val="28"/>
              </w:rPr>
            </w:pPr>
            <w:r>
              <w:rPr>
                <w:rFonts w:ascii="Times New Roman" w:hAnsi="Times New Roman" w:cs="Times New Roman"/>
                <w:color w:val="000080"/>
                <w:sz w:val="28"/>
                <w:szCs w:val="28"/>
              </w:rPr>
              <w:t xml:space="preserve">      C (i-1) = Mi</w:t>
            </w:r>
          </w:p>
        </w:tc>
      </w:tr>
      <w:tr>
        <w:tblPrEx>
          <w:tblCellMar>
            <w:top w:w="0" w:type="dxa"/>
            <w:left w:w="108" w:type="dxa"/>
            <w:bottom w:w="0" w:type="dxa"/>
            <w:right w:w="108" w:type="dxa"/>
          </w:tblCellMar>
        </w:tblPrEx>
        <w:trPr>
          <w:wBefore w:w="0" w:type="auto"/>
        </w:trPr>
        <w:tc>
          <w:tcPr>
            <w:tcW w:w="5102"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pStyle w:val="13"/>
              <w:rPr>
                <w:sz w:val="28"/>
                <w:szCs w:val="28"/>
              </w:rPr>
            </w:pPr>
            <w:r>
              <w:rPr>
                <w:sz w:val="28"/>
                <w:szCs w:val="28"/>
              </w:rPr>
              <w:t xml:space="preserve">Sensuri giratorii fara semnalizare rutiera:                          </w:t>
            </w:r>
          </w:p>
          <w:p>
            <w:pPr>
              <w:pStyle w:val="13"/>
              <w:rPr>
                <w:sz w:val="28"/>
                <w:szCs w:val="28"/>
              </w:rPr>
            </w:pPr>
            <w:r>
              <w:rPr>
                <w:sz w:val="28"/>
                <w:szCs w:val="28"/>
              </w:rPr>
              <w:t xml:space="preserve">- compexe sau mari                                                       </w:t>
            </w:r>
          </w:p>
          <w:p>
            <w:pPr>
              <w:pStyle w:val="13"/>
              <w:rPr>
                <w:sz w:val="28"/>
                <w:szCs w:val="28"/>
              </w:rPr>
            </w:pPr>
            <w:r>
              <w:rPr>
                <w:sz w:val="28"/>
                <w:szCs w:val="28"/>
              </w:rPr>
              <w:t xml:space="preserve">- de complexitate medie                                                  </w:t>
            </w:r>
          </w:p>
          <w:p>
            <w:pPr>
              <w:pStyle w:val="13"/>
              <w:rPr>
                <w:sz w:val="28"/>
                <w:szCs w:val="28"/>
              </w:rPr>
            </w:pPr>
            <w:r>
              <w:rPr>
                <w:sz w:val="28"/>
                <w:szCs w:val="28"/>
              </w:rPr>
              <w:t>- simple sau mici</w:t>
            </w:r>
          </w:p>
        </w:tc>
        <w:tc>
          <w:tcPr>
            <w:tcW w:w="2268"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color w:val="000080"/>
                <w:sz w:val="28"/>
                <w:szCs w:val="28"/>
              </w:rPr>
            </w:pPr>
          </w:p>
          <w:p>
            <w:pPr>
              <w:jc w:val="center"/>
              <w:rPr>
                <w:rFonts w:ascii="Times New Roman" w:hAnsi="Times New Roman" w:cs="Times New Roman"/>
                <w:color w:val="000080"/>
                <w:sz w:val="28"/>
                <w:szCs w:val="28"/>
              </w:rPr>
            </w:pPr>
          </w:p>
          <w:p>
            <w:pPr>
              <w:jc w:val="center"/>
              <w:rPr>
                <w:rFonts w:ascii="Times New Roman" w:hAnsi="Times New Roman" w:cs="Times New Roman"/>
                <w:color w:val="000080"/>
                <w:sz w:val="28"/>
                <w:szCs w:val="28"/>
              </w:rPr>
            </w:pPr>
          </w:p>
          <w:p>
            <w:pPr>
              <w:jc w:val="center"/>
              <w:rPr>
                <w:rFonts w:ascii="Times New Roman" w:hAnsi="Times New Roman" w:cs="Times New Roman"/>
                <w:sz w:val="28"/>
                <w:szCs w:val="28"/>
              </w:rPr>
            </w:pPr>
            <w:r>
              <w:rPr>
                <w:rFonts w:ascii="Times New Roman" w:hAnsi="Times New Roman" w:cs="Times New Roman"/>
                <w:color w:val="000080"/>
                <w:sz w:val="28"/>
                <w:szCs w:val="28"/>
              </w:rPr>
              <w:t>C1</w:t>
            </w:r>
          </w:p>
          <w:p>
            <w:pPr>
              <w:jc w:val="center"/>
              <w:rPr>
                <w:rFonts w:ascii="Times New Roman" w:hAnsi="Times New Roman" w:cs="Times New Roman"/>
                <w:color w:val="000080"/>
                <w:sz w:val="28"/>
                <w:szCs w:val="28"/>
              </w:rPr>
            </w:pPr>
          </w:p>
          <w:p>
            <w:pPr>
              <w:rPr>
                <w:rFonts w:ascii="Times New Roman" w:hAnsi="Times New Roman" w:cs="Times New Roman"/>
                <w:sz w:val="28"/>
                <w:szCs w:val="28"/>
              </w:rPr>
            </w:pPr>
            <w:r>
              <w:rPr>
                <w:rFonts w:ascii="Times New Roman" w:hAnsi="Times New Roman" w:cs="Times New Roman"/>
                <w:color w:val="17365D"/>
                <w:sz w:val="28"/>
                <w:szCs w:val="28"/>
              </w:rPr>
              <w:t xml:space="preserve">              C2</w:t>
            </w:r>
          </w:p>
          <w:p>
            <w:pPr>
              <w:jc w:val="center"/>
              <w:rPr>
                <w:rFonts w:ascii="Times New Roman" w:hAnsi="Times New Roman" w:cs="Times New Roman"/>
                <w:color w:val="000080"/>
                <w:sz w:val="28"/>
                <w:szCs w:val="28"/>
              </w:rPr>
            </w:pPr>
          </w:p>
          <w:p>
            <w:pPr>
              <w:jc w:val="center"/>
              <w:rPr>
                <w:rFonts w:ascii="Times New Roman" w:hAnsi="Times New Roman" w:cs="Times New Roman"/>
                <w:sz w:val="28"/>
                <w:szCs w:val="28"/>
              </w:rPr>
            </w:pPr>
            <w:r>
              <w:rPr>
                <w:rFonts w:ascii="Times New Roman" w:hAnsi="Times New Roman" w:cs="Times New Roman"/>
                <w:color w:val="FF0000"/>
                <w:sz w:val="28"/>
                <w:szCs w:val="28"/>
              </w:rPr>
              <w:t>C3</w:t>
            </w:r>
          </w:p>
        </w:tc>
      </w:tr>
      <w:tr>
        <w:tblPrEx>
          <w:tblCellMar>
            <w:top w:w="0" w:type="dxa"/>
            <w:left w:w="108" w:type="dxa"/>
            <w:bottom w:w="0" w:type="dxa"/>
            <w:right w:w="108" w:type="dxa"/>
          </w:tblCellMar>
        </w:tblPrEx>
        <w:trPr>
          <w:wBefore w:w="0" w:type="auto"/>
        </w:trPr>
        <w:tc>
          <w:tcPr>
            <w:tcW w:w="5102"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pStyle w:val="13"/>
              <w:rPr>
                <w:sz w:val="28"/>
                <w:szCs w:val="28"/>
              </w:rPr>
            </w:pPr>
            <w:r>
              <w:rPr>
                <w:sz w:val="28"/>
                <w:szCs w:val="28"/>
              </w:rPr>
              <w:t xml:space="preserve">Zone aglomerate (în care traficul se desfasoara greu):         </w:t>
            </w:r>
          </w:p>
          <w:p>
            <w:pPr>
              <w:pStyle w:val="13"/>
              <w:rPr>
                <w:sz w:val="28"/>
                <w:szCs w:val="28"/>
              </w:rPr>
            </w:pPr>
            <w:r>
              <w:rPr>
                <w:sz w:val="28"/>
                <w:szCs w:val="28"/>
              </w:rPr>
              <w:t xml:space="preserve">- complexe sau mari                                                             </w:t>
            </w:r>
          </w:p>
          <w:p>
            <w:pPr>
              <w:pStyle w:val="13"/>
              <w:rPr>
                <w:sz w:val="28"/>
                <w:szCs w:val="28"/>
              </w:rPr>
            </w:pPr>
            <w:r>
              <w:rPr>
                <w:sz w:val="28"/>
                <w:szCs w:val="28"/>
              </w:rPr>
              <w:t xml:space="preserve">- de complexitate medie                                                      </w:t>
            </w:r>
          </w:p>
          <w:p>
            <w:pPr>
              <w:pStyle w:val="13"/>
              <w:rPr>
                <w:sz w:val="28"/>
                <w:szCs w:val="28"/>
              </w:rPr>
            </w:pPr>
            <w:r>
              <w:rPr>
                <w:sz w:val="28"/>
                <w:szCs w:val="28"/>
              </w:rPr>
              <w:t>- simple sau mici</w:t>
            </w:r>
          </w:p>
        </w:tc>
        <w:tc>
          <w:tcPr>
            <w:tcW w:w="2268" w:type="dxa"/>
            <w:tcBorders>
              <w:top w:val="single" w:color="000000" w:sz="6" w:space="0"/>
              <w:left w:val="single" w:color="000000" w:sz="6" w:space="0"/>
              <w:bottom w:val="single" w:color="000000" w:sz="6" w:space="0"/>
              <w:right w:val="single" w:color="000000" w:sz="6" w:space="0"/>
            </w:tcBorders>
            <w:shd w:val="clear" w:color="auto" w:fill="auto"/>
            <w:noWrap w:val="0"/>
            <w:vAlign w:val="top"/>
          </w:tcPr>
          <w:p>
            <w:pPr>
              <w:jc w:val="center"/>
              <w:rPr>
                <w:rFonts w:ascii="Times New Roman" w:hAnsi="Times New Roman" w:cs="Times New Roman"/>
                <w:color w:val="000080"/>
                <w:sz w:val="28"/>
                <w:szCs w:val="28"/>
              </w:rPr>
            </w:pPr>
          </w:p>
          <w:p>
            <w:pPr>
              <w:jc w:val="center"/>
              <w:rPr>
                <w:rFonts w:ascii="Times New Roman" w:hAnsi="Times New Roman" w:cs="Times New Roman"/>
                <w:color w:val="000080"/>
                <w:sz w:val="28"/>
                <w:szCs w:val="28"/>
              </w:rPr>
            </w:pPr>
          </w:p>
          <w:p>
            <w:pPr>
              <w:jc w:val="center"/>
              <w:rPr>
                <w:rFonts w:ascii="Times New Roman" w:hAnsi="Times New Roman" w:cs="Times New Roman"/>
                <w:color w:val="000080"/>
                <w:sz w:val="28"/>
                <w:szCs w:val="28"/>
              </w:rPr>
            </w:pPr>
          </w:p>
          <w:p>
            <w:pPr>
              <w:jc w:val="center"/>
              <w:rPr>
                <w:rFonts w:ascii="Times New Roman" w:hAnsi="Times New Roman" w:cs="Times New Roman"/>
                <w:color w:val="000080"/>
                <w:sz w:val="28"/>
                <w:szCs w:val="28"/>
              </w:rPr>
            </w:pPr>
          </w:p>
          <w:p>
            <w:pPr>
              <w:jc w:val="center"/>
              <w:rPr>
                <w:rFonts w:ascii="Times New Roman" w:hAnsi="Times New Roman" w:cs="Times New Roman"/>
                <w:color w:val="000080"/>
                <w:sz w:val="28"/>
                <w:szCs w:val="28"/>
              </w:rPr>
            </w:pPr>
          </w:p>
          <w:p>
            <w:pPr>
              <w:jc w:val="center"/>
              <w:rPr>
                <w:rFonts w:ascii="Times New Roman" w:hAnsi="Times New Roman" w:cs="Times New Roman"/>
                <w:sz w:val="28"/>
                <w:szCs w:val="28"/>
              </w:rPr>
            </w:pPr>
            <w:r>
              <w:rPr>
                <w:rFonts w:ascii="Times New Roman" w:hAnsi="Times New Roman" w:cs="Times New Roman"/>
                <w:color w:val="000080"/>
                <w:sz w:val="28"/>
                <w:szCs w:val="28"/>
              </w:rPr>
              <w:t>C1</w:t>
            </w:r>
          </w:p>
          <w:p>
            <w:pPr>
              <w:jc w:val="center"/>
              <w:rPr>
                <w:rFonts w:ascii="Times New Roman" w:hAnsi="Times New Roman" w:cs="Times New Roman"/>
                <w:color w:val="365F91"/>
                <w:sz w:val="28"/>
                <w:szCs w:val="28"/>
              </w:rPr>
            </w:pPr>
          </w:p>
          <w:p>
            <w:pPr>
              <w:jc w:val="center"/>
              <w:rPr>
                <w:rFonts w:ascii="Times New Roman" w:hAnsi="Times New Roman" w:cs="Times New Roman"/>
                <w:color w:val="17365D"/>
                <w:sz w:val="28"/>
                <w:szCs w:val="28"/>
              </w:rPr>
            </w:pPr>
          </w:p>
          <w:p>
            <w:pPr>
              <w:jc w:val="center"/>
              <w:rPr>
                <w:rFonts w:ascii="Times New Roman" w:hAnsi="Times New Roman" w:cs="Times New Roman"/>
                <w:sz w:val="28"/>
                <w:szCs w:val="28"/>
              </w:rPr>
            </w:pPr>
            <w:r>
              <w:rPr>
                <w:rFonts w:ascii="Times New Roman" w:hAnsi="Times New Roman" w:cs="Times New Roman"/>
                <w:color w:val="17365D"/>
                <w:sz w:val="28"/>
                <w:szCs w:val="28"/>
              </w:rPr>
              <w:t>C2</w:t>
            </w:r>
          </w:p>
          <w:p>
            <w:pPr>
              <w:jc w:val="center"/>
              <w:rPr>
                <w:rFonts w:ascii="Times New Roman" w:hAnsi="Times New Roman" w:cs="Times New Roman"/>
                <w:color w:val="000080"/>
                <w:sz w:val="28"/>
                <w:szCs w:val="28"/>
              </w:rPr>
            </w:pPr>
          </w:p>
          <w:p>
            <w:pPr>
              <w:jc w:val="center"/>
              <w:rPr>
                <w:rFonts w:ascii="Times New Roman" w:hAnsi="Times New Roman" w:cs="Times New Roman"/>
                <w:color w:val="FF0000"/>
                <w:sz w:val="28"/>
                <w:szCs w:val="28"/>
              </w:rPr>
            </w:pPr>
          </w:p>
          <w:p>
            <w:pPr>
              <w:jc w:val="center"/>
              <w:rPr>
                <w:rFonts w:ascii="Times New Roman" w:hAnsi="Times New Roman" w:cs="Times New Roman"/>
                <w:sz w:val="28"/>
                <w:szCs w:val="28"/>
              </w:rPr>
            </w:pPr>
            <w:r>
              <w:rPr>
                <w:rFonts w:ascii="Times New Roman" w:hAnsi="Times New Roman" w:cs="Times New Roman"/>
                <w:color w:val="FF0000"/>
                <w:sz w:val="28"/>
                <w:szCs w:val="28"/>
              </w:rPr>
              <w:t>C3</w:t>
            </w:r>
          </w:p>
        </w:tc>
      </w:tr>
    </w:tbl>
    <w:p>
      <w:pPr>
        <w:pStyle w:val="13"/>
        <w:tabs>
          <w:tab w:val="left" w:pos="1440"/>
        </w:tabs>
        <w:spacing w:line="240" w:lineRule="auto"/>
        <w:ind w:left="0"/>
        <w:jc w:val="both"/>
        <w:rPr>
          <w:color w:val="000000"/>
          <w:sz w:val="28"/>
          <w:szCs w:val="28"/>
        </w:rPr>
      </w:pPr>
    </w:p>
    <w:p>
      <w:pPr>
        <w:pStyle w:val="13"/>
        <w:tabs>
          <w:tab w:val="left" w:pos="1440"/>
        </w:tabs>
        <w:spacing w:line="240" w:lineRule="auto"/>
        <w:ind w:left="0"/>
        <w:jc w:val="both"/>
        <w:rPr>
          <w:color w:val="000000"/>
          <w:sz w:val="28"/>
          <w:szCs w:val="28"/>
        </w:rPr>
      </w:pPr>
      <w:r>
        <w:rPr>
          <w:color w:val="000000"/>
          <w:sz w:val="28"/>
          <w:szCs w:val="28"/>
        </w:rPr>
        <w:t>Zonele de risc din comuna Preutesti       sunt:</w:t>
      </w:r>
    </w:p>
    <w:p>
      <w:pPr>
        <w:pStyle w:val="13"/>
        <w:tabs>
          <w:tab w:val="left" w:pos="1440"/>
        </w:tabs>
        <w:spacing w:line="240" w:lineRule="auto"/>
        <w:ind w:left="0"/>
        <w:jc w:val="both"/>
        <w:rPr>
          <w:color w:val="000000"/>
          <w:sz w:val="28"/>
          <w:szCs w:val="28"/>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6"/>
        <w:gridCol w:w="2136"/>
        <w:gridCol w:w="2126"/>
        <w:gridCol w:w="1486"/>
        <w:gridCol w:w="1368"/>
        <w:gridCol w:w="1121"/>
        <w:gridCol w:w="9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6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Nr.</w:t>
            </w:r>
          </w:p>
          <w:p>
            <w:pPr>
              <w:pStyle w:val="13"/>
              <w:tabs>
                <w:tab w:val="left" w:pos="1440"/>
              </w:tabs>
              <w:spacing w:line="240" w:lineRule="auto"/>
              <w:ind w:left="0"/>
              <w:rPr>
                <w:color w:val="000000"/>
                <w:sz w:val="28"/>
                <w:szCs w:val="28"/>
              </w:rPr>
            </w:pPr>
            <w:r>
              <w:rPr>
                <w:color w:val="000000"/>
                <w:sz w:val="28"/>
                <w:szCs w:val="28"/>
              </w:rPr>
              <w:t>crt.</w:t>
            </w:r>
          </w:p>
        </w:tc>
        <w:tc>
          <w:tcPr>
            <w:tcW w:w="213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Tipul zonei de risc</w:t>
            </w:r>
          </w:p>
        </w:tc>
        <w:tc>
          <w:tcPr>
            <w:tcW w:w="212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Locatie</w:t>
            </w:r>
          </w:p>
          <w:p>
            <w:pPr>
              <w:pStyle w:val="13"/>
              <w:tabs>
                <w:tab w:val="left" w:pos="1440"/>
              </w:tabs>
              <w:spacing w:line="240" w:lineRule="auto"/>
              <w:ind w:left="0"/>
              <w:rPr>
                <w:color w:val="000000"/>
                <w:sz w:val="28"/>
                <w:szCs w:val="28"/>
              </w:rPr>
            </w:pPr>
          </w:p>
        </w:tc>
        <w:tc>
          <w:tcPr>
            <w:tcW w:w="148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lungine</w:t>
            </w:r>
          </w:p>
          <w:p>
            <w:pPr>
              <w:pStyle w:val="13"/>
              <w:tabs>
                <w:tab w:val="left" w:pos="1440"/>
              </w:tabs>
              <w:spacing w:line="240" w:lineRule="auto"/>
              <w:ind w:left="0"/>
              <w:rPr>
                <w:color w:val="000000"/>
                <w:sz w:val="28"/>
                <w:szCs w:val="28"/>
              </w:rPr>
            </w:pPr>
            <w:r>
              <w:rPr>
                <w:color w:val="000000"/>
                <w:sz w:val="28"/>
                <w:szCs w:val="28"/>
              </w:rPr>
              <w:t>suprafata</w:t>
            </w:r>
          </w:p>
        </w:tc>
        <w:tc>
          <w:tcPr>
            <w:tcW w:w="1368"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Clasa sistemului de iluminat</w:t>
            </w:r>
          </w:p>
        </w:tc>
        <w:tc>
          <w:tcPr>
            <w:tcW w:w="1121"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E(lx)</w:t>
            </w:r>
          </w:p>
          <w:p>
            <w:pPr>
              <w:pStyle w:val="13"/>
              <w:tabs>
                <w:tab w:val="left" w:pos="1440"/>
              </w:tabs>
              <w:spacing w:line="240" w:lineRule="auto"/>
              <w:ind w:left="0"/>
              <w:rPr>
                <w:color w:val="000000"/>
                <w:sz w:val="28"/>
                <w:szCs w:val="28"/>
              </w:rPr>
            </w:pPr>
            <w:r>
              <w:rPr>
                <w:color w:val="000000"/>
                <w:sz w:val="28"/>
                <w:szCs w:val="28"/>
              </w:rPr>
              <w:t>min.</w:t>
            </w:r>
          </w:p>
        </w:tc>
        <w:tc>
          <w:tcPr>
            <w:tcW w:w="950"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E(lx)</w:t>
            </w:r>
          </w:p>
          <w:p>
            <w:pPr>
              <w:pStyle w:val="13"/>
              <w:tabs>
                <w:tab w:val="left" w:pos="1440"/>
              </w:tabs>
              <w:spacing w:line="240" w:lineRule="auto"/>
              <w:ind w:left="0"/>
              <w:rPr>
                <w:color w:val="000000"/>
                <w:sz w:val="28"/>
                <w:szCs w:val="28"/>
              </w:rPr>
            </w:pPr>
            <w:r>
              <w:rPr>
                <w:color w:val="000000"/>
                <w:sz w:val="28"/>
                <w:szCs w:val="28"/>
              </w:rPr>
              <w:t>max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6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1.</w:t>
            </w:r>
          </w:p>
        </w:tc>
        <w:tc>
          <w:tcPr>
            <w:tcW w:w="213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Trecere de pietoni</w:t>
            </w:r>
          </w:p>
        </w:tc>
        <w:tc>
          <w:tcPr>
            <w:tcW w:w="212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 xml:space="preserve">Scoala gimnaziala Preutesti </w:t>
            </w:r>
          </w:p>
        </w:tc>
        <w:tc>
          <w:tcPr>
            <w:tcW w:w="148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60 m</w:t>
            </w:r>
          </w:p>
        </w:tc>
        <w:tc>
          <w:tcPr>
            <w:tcW w:w="1368"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C3</w:t>
            </w:r>
          </w:p>
        </w:tc>
        <w:tc>
          <w:tcPr>
            <w:tcW w:w="1121"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0,4</w:t>
            </w:r>
          </w:p>
        </w:tc>
        <w:tc>
          <w:tcPr>
            <w:tcW w:w="950"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6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2.</w:t>
            </w:r>
          </w:p>
        </w:tc>
        <w:tc>
          <w:tcPr>
            <w:tcW w:w="213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Trecere de pietoni</w:t>
            </w:r>
          </w:p>
        </w:tc>
        <w:tc>
          <w:tcPr>
            <w:tcW w:w="212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 xml:space="preserve">Scoala cu clasele I-VIII Arghira </w:t>
            </w:r>
          </w:p>
        </w:tc>
        <w:tc>
          <w:tcPr>
            <w:tcW w:w="148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60 m</w:t>
            </w:r>
          </w:p>
        </w:tc>
        <w:tc>
          <w:tcPr>
            <w:tcW w:w="1368"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C3</w:t>
            </w:r>
          </w:p>
        </w:tc>
        <w:tc>
          <w:tcPr>
            <w:tcW w:w="1121"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0,4</w:t>
            </w:r>
          </w:p>
        </w:tc>
        <w:tc>
          <w:tcPr>
            <w:tcW w:w="950"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6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3.</w:t>
            </w:r>
          </w:p>
        </w:tc>
        <w:tc>
          <w:tcPr>
            <w:tcW w:w="213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Trecere de pietoni</w:t>
            </w:r>
          </w:p>
        </w:tc>
        <w:tc>
          <w:tcPr>
            <w:tcW w:w="212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 xml:space="preserve">Scoala cu clasele I-VIII Basarabi  </w:t>
            </w:r>
          </w:p>
        </w:tc>
        <w:tc>
          <w:tcPr>
            <w:tcW w:w="148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60 m</w:t>
            </w:r>
          </w:p>
        </w:tc>
        <w:tc>
          <w:tcPr>
            <w:tcW w:w="1368"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C3</w:t>
            </w:r>
          </w:p>
        </w:tc>
        <w:tc>
          <w:tcPr>
            <w:tcW w:w="1121"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0,4</w:t>
            </w:r>
          </w:p>
        </w:tc>
        <w:tc>
          <w:tcPr>
            <w:tcW w:w="950"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6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4.</w:t>
            </w:r>
          </w:p>
        </w:tc>
        <w:tc>
          <w:tcPr>
            <w:tcW w:w="213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Trecere de pietoni</w:t>
            </w:r>
          </w:p>
        </w:tc>
        <w:tc>
          <w:tcPr>
            <w:tcW w:w="212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Scoala cu clasele I-VIII Leucusesti</w:t>
            </w:r>
          </w:p>
        </w:tc>
        <w:tc>
          <w:tcPr>
            <w:tcW w:w="148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60 m</w:t>
            </w:r>
          </w:p>
        </w:tc>
        <w:tc>
          <w:tcPr>
            <w:tcW w:w="1368"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C3</w:t>
            </w:r>
          </w:p>
        </w:tc>
        <w:tc>
          <w:tcPr>
            <w:tcW w:w="1121"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0,4</w:t>
            </w:r>
          </w:p>
        </w:tc>
        <w:tc>
          <w:tcPr>
            <w:tcW w:w="950"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6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5.</w:t>
            </w:r>
          </w:p>
        </w:tc>
        <w:tc>
          <w:tcPr>
            <w:tcW w:w="213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Trecere de pietoni</w:t>
            </w:r>
          </w:p>
        </w:tc>
        <w:tc>
          <w:tcPr>
            <w:tcW w:w="212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Scoala primara Bahna Arin</w:t>
            </w:r>
          </w:p>
        </w:tc>
        <w:tc>
          <w:tcPr>
            <w:tcW w:w="148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60 m</w:t>
            </w:r>
          </w:p>
        </w:tc>
        <w:tc>
          <w:tcPr>
            <w:tcW w:w="1368"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C3</w:t>
            </w:r>
          </w:p>
        </w:tc>
        <w:tc>
          <w:tcPr>
            <w:tcW w:w="1121"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0,4</w:t>
            </w:r>
          </w:p>
        </w:tc>
        <w:tc>
          <w:tcPr>
            <w:tcW w:w="950"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6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6.</w:t>
            </w:r>
          </w:p>
        </w:tc>
        <w:tc>
          <w:tcPr>
            <w:tcW w:w="213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Trecere de pietoni</w:t>
            </w:r>
          </w:p>
        </w:tc>
        <w:tc>
          <w:tcPr>
            <w:tcW w:w="212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Scoala primara Husi</w:t>
            </w:r>
          </w:p>
        </w:tc>
        <w:tc>
          <w:tcPr>
            <w:tcW w:w="148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60 m</w:t>
            </w:r>
          </w:p>
        </w:tc>
        <w:tc>
          <w:tcPr>
            <w:tcW w:w="1368"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C3</w:t>
            </w:r>
          </w:p>
        </w:tc>
        <w:tc>
          <w:tcPr>
            <w:tcW w:w="1121"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0,4</w:t>
            </w:r>
          </w:p>
        </w:tc>
        <w:tc>
          <w:tcPr>
            <w:tcW w:w="950"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6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7.</w:t>
            </w:r>
          </w:p>
        </w:tc>
        <w:tc>
          <w:tcPr>
            <w:tcW w:w="213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Trecere de pietoni</w:t>
            </w:r>
          </w:p>
        </w:tc>
        <w:tc>
          <w:tcPr>
            <w:tcW w:w="212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 xml:space="preserve">Gradinita cu program normal Preutesti </w:t>
            </w:r>
          </w:p>
        </w:tc>
        <w:tc>
          <w:tcPr>
            <w:tcW w:w="148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60 m</w:t>
            </w:r>
          </w:p>
        </w:tc>
        <w:tc>
          <w:tcPr>
            <w:tcW w:w="1368"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C3</w:t>
            </w:r>
          </w:p>
        </w:tc>
        <w:tc>
          <w:tcPr>
            <w:tcW w:w="1121"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0,4</w:t>
            </w:r>
          </w:p>
        </w:tc>
        <w:tc>
          <w:tcPr>
            <w:tcW w:w="950"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6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8.</w:t>
            </w:r>
          </w:p>
        </w:tc>
        <w:tc>
          <w:tcPr>
            <w:tcW w:w="213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Trecere de pietoni</w:t>
            </w:r>
          </w:p>
        </w:tc>
        <w:tc>
          <w:tcPr>
            <w:tcW w:w="212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 xml:space="preserve">Gradinita cu program normal Preutesti </w:t>
            </w:r>
          </w:p>
        </w:tc>
        <w:tc>
          <w:tcPr>
            <w:tcW w:w="148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60 m</w:t>
            </w:r>
          </w:p>
        </w:tc>
        <w:tc>
          <w:tcPr>
            <w:tcW w:w="1368"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C3</w:t>
            </w:r>
          </w:p>
        </w:tc>
        <w:tc>
          <w:tcPr>
            <w:tcW w:w="1121"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0,4</w:t>
            </w:r>
          </w:p>
        </w:tc>
        <w:tc>
          <w:tcPr>
            <w:tcW w:w="950"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6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9.</w:t>
            </w:r>
          </w:p>
        </w:tc>
        <w:tc>
          <w:tcPr>
            <w:tcW w:w="213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Trecere de pietoni</w:t>
            </w:r>
          </w:p>
        </w:tc>
        <w:tc>
          <w:tcPr>
            <w:tcW w:w="212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Gradinita cu program normal Arghira</w:t>
            </w:r>
          </w:p>
        </w:tc>
        <w:tc>
          <w:tcPr>
            <w:tcW w:w="148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60 m</w:t>
            </w:r>
          </w:p>
        </w:tc>
        <w:tc>
          <w:tcPr>
            <w:tcW w:w="1368"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C3</w:t>
            </w:r>
          </w:p>
        </w:tc>
        <w:tc>
          <w:tcPr>
            <w:tcW w:w="1121"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0,4</w:t>
            </w:r>
          </w:p>
        </w:tc>
        <w:tc>
          <w:tcPr>
            <w:tcW w:w="950"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6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10.</w:t>
            </w:r>
          </w:p>
        </w:tc>
        <w:tc>
          <w:tcPr>
            <w:tcW w:w="213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Trecere de pietoni</w:t>
            </w:r>
          </w:p>
        </w:tc>
        <w:tc>
          <w:tcPr>
            <w:tcW w:w="212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Gradinita cu program normal Basarabi</w:t>
            </w:r>
          </w:p>
        </w:tc>
        <w:tc>
          <w:tcPr>
            <w:tcW w:w="148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60 m</w:t>
            </w:r>
          </w:p>
        </w:tc>
        <w:tc>
          <w:tcPr>
            <w:tcW w:w="1368"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C3</w:t>
            </w:r>
          </w:p>
        </w:tc>
        <w:tc>
          <w:tcPr>
            <w:tcW w:w="1121"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0,4</w:t>
            </w:r>
          </w:p>
        </w:tc>
        <w:tc>
          <w:tcPr>
            <w:tcW w:w="950"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6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11.</w:t>
            </w:r>
          </w:p>
        </w:tc>
        <w:tc>
          <w:tcPr>
            <w:tcW w:w="213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Trecere de pietoni</w:t>
            </w:r>
          </w:p>
        </w:tc>
        <w:tc>
          <w:tcPr>
            <w:tcW w:w="212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 xml:space="preserve">Gradinita cu program normal Leucusesti </w:t>
            </w:r>
          </w:p>
        </w:tc>
        <w:tc>
          <w:tcPr>
            <w:tcW w:w="148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60 m</w:t>
            </w:r>
          </w:p>
        </w:tc>
        <w:tc>
          <w:tcPr>
            <w:tcW w:w="1368"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C3</w:t>
            </w:r>
          </w:p>
        </w:tc>
        <w:tc>
          <w:tcPr>
            <w:tcW w:w="1121"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0,4</w:t>
            </w:r>
          </w:p>
        </w:tc>
        <w:tc>
          <w:tcPr>
            <w:tcW w:w="950"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6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12.</w:t>
            </w:r>
          </w:p>
        </w:tc>
        <w:tc>
          <w:tcPr>
            <w:tcW w:w="213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Trecere de pietoni</w:t>
            </w:r>
          </w:p>
        </w:tc>
        <w:tc>
          <w:tcPr>
            <w:tcW w:w="212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Scoala camin cultural Preutesti</w:t>
            </w:r>
          </w:p>
        </w:tc>
        <w:tc>
          <w:tcPr>
            <w:tcW w:w="148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60 m</w:t>
            </w:r>
          </w:p>
        </w:tc>
        <w:tc>
          <w:tcPr>
            <w:tcW w:w="1368"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C3</w:t>
            </w:r>
          </w:p>
        </w:tc>
        <w:tc>
          <w:tcPr>
            <w:tcW w:w="1121"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0,4</w:t>
            </w:r>
          </w:p>
        </w:tc>
        <w:tc>
          <w:tcPr>
            <w:tcW w:w="950"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6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13.</w:t>
            </w:r>
          </w:p>
        </w:tc>
        <w:tc>
          <w:tcPr>
            <w:tcW w:w="213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Trecere de pietoni</w:t>
            </w:r>
          </w:p>
        </w:tc>
        <w:tc>
          <w:tcPr>
            <w:tcW w:w="212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Scoala camin cultural Basarabi</w:t>
            </w:r>
          </w:p>
        </w:tc>
        <w:tc>
          <w:tcPr>
            <w:tcW w:w="148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60 m</w:t>
            </w:r>
          </w:p>
        </w:tc>
        <w:tc>
          <w:tcPr>
            <w:tcW w:w="1368"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C3</w:t>
            </w:r>
          </w:p>
        </w:tc>
        <w:tc>
          <w:tcPr>
            <w:tcW w:w="1121"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0,4</w:t>
            </w:r>
          </w:p>
        </w:tc>
        <w:tc>
          <w:tcPr>
            <w:tcW w:w="950"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6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14.</w:t>
            </w:r>
          </w:p>
        </w:tc>
        <w:tc>
          <w:tcPr>
            <w:tcW w:w="213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Trecere de pietoni</w:t>
            </w:r>
          </w:p>
        </w:tc>
        <w:tc>
          <w:tcPr>
            <w:tcW w:w="212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Biserica Sfintul Andrei Basarabi</w:t>
            </w:r>
          </w:p>
        </w:tc>
        <w:tc>
          <w:tcPr>
            <w:tcW w:w="148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60 m</w:t>
            </w:r>
          </w:p>
        </w:tc>
        <w:tc>
          <w:tcPr>
            <w:tcW w:w="1368"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C3</w:t>
            </w:r>
          </w:p>
        </w:tc>
        <w:tc>
          <w:tcPr>
            <w:tcW w:w="1121"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0,4</w:t>
            </w:r>
          </w:p>
        </w:tc>
        <w:tc>
          <w:tcPr>
            <w:tcW w:w="950"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6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15.</w:t>
            </w:r>
          </w:p>
        </w:tc>
        <w:tc>
          <w:tcPr>
            <w:tcW w:w="213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Trecere de pietoni</w:t>
            </w:r>
          </w:p>
        </w:tc>
        <w:tc>
          <w:tcPr>
            <w:tcW w:w="212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Manastirea Preutesti</w:t>
            </w:r>
          </w:p>
        </w:tc>
        <w:tc>
          <w:tcPr>
            <w:tcW w:w="148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60 m</w:t>
            </w:r>
          </w:p>
        </w:tc>
        <w:tc>
          <w:tcPr>
            <w:tcW w:w="1368"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C3</w:t>
            </w:r>
          </w:p>
        </w:tc>
        <w:tc>
          <w:tcPr>
            <w:tcW w:w="1121"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0,4</w:t>
            </w:r>
          </w:p>
        </w:tc>
        <w:tc>
          <w:tcPr>
            <w:tcW w:w="950"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6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16.</w:t>
            </w:r>
          </w:p>
        </w:tc>
        <w:tc>
          <w:tcPr>
            <w:tcW w:w="213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Trecere de pietoni</w:t>
            </w:r>
          </w:p>
        </w:tc>
        <w:tc>
          <w:tcPr>
            <w:tcW w:w="212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Biserica ortodoxa Arghira</w:t>
            </w:r>
          </w:p>
        </w:tc>
        <w:tc>
          <w:tcPr>
            <w:tcW w:w="148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60 m</w:t>
            </w:r>
          </w:p>
        </w:tc>
        <w:tc>
          <w:tcPr>
            <w:tcW w:w="1368"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C3</w:t>
            </w:r>
          </w:p>
        </w:tc>
        <w:tc>
          <w:tcPr>
            <w:tcW w:w="1121"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0,4</w:t>
            </w:r>
          </w:p>
        </w:tc>
        <w:tc>
          <w:tcPr>
            <w:tcW w:w="950"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6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17.</w:t>
            </w:r>
          </w:p>
        </w:tc>
        <w:tc>
          <w:tcPr>
            <w:tcW w:w="213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Trecere de pietoni</w:t>
            </w:r>
          </w:p>
        </w:tc>
        <w:tc>
          <w:tcPr>
            <w:tcW w:w="212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Biserica ortodoxa Leucusesti</w:t>
            </w:r>
          </w:p>
        </w:tc>
        <w:tc>
          <w:tcPr>
            <w:tcW w:w="148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60 m</w:t>
            </w:r>
          </w:p>
        </w:tc>
        <w:tc>
          <w:tcPr>
            <w:tcW w:w="1368"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C3</w:t>
            </w:r>
          </w:p>
        </w:tc>
        <w:tc>
          <w:tcPr>
            <w:tcW w:w="1121"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0,4</w:t>
            </w:r>
          </w:p>
        </w:tc>
        <w:tc>
          <w:tcPr>
            <w:tcW w:w="950"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6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18.</w:t>
            </w:r>
          </w:p>
        </w:tc>
        <w:tc>
          <w:tcPr>
            <w:tcW w:w="213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Trecere de pietoni</w:t>
            </w:r>
          </w:p>
        </w:tc>
        <w:tc>
          <w:tcPr>
            <w:tcW w:w="212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Ansanblul bisericesc Manastioara</w:t>
            </w:r>
          </w:p>
        </w:tc>
        <w:tc>
          <w:tcPr>
            <w:tcW w:w="148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60 m</w:t>
            </w:r>
          </w:p>
        </w:tc>
        <w:tc>
          <w:tcPr>
            <w:tcW w:w="1368"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C3</w:t>
            </w:r>
          </w:p>
        </w:tc>
        <w:tc>
          <w:tcPr>
            <w:tcW w:w="1121"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0,4</w:t>
            </w:r>
          </w:p>
        </w:tc>
        <w:tc>
          <w:tcPr>
            <w:tcW w:w="950"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6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19.</w:t>
            </w:r>
          </w:p>
        </w:tc>
        <w:tc>
          <w:tcPr>
            <w:tcW w:w="213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Trecere de pietoni</w:t>
            </w:r>
          </w:p>
        </w:tc>
        <w:tc>
          <w:tcPr>
            <w:tcW w:w="212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Biserica Penticostala</w:t>
            </w:r>
          </w:p>
        </w:tc>
        <w:tc>
          <w:tcPr>
            <w:tcW w:w="148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60 m</w:t>
            </w:r>
          </w:p>
        </w:tc>
        <w:tc>
          <w:tcPr>
            <w:tcW w:w="1368"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C3</w:t>
            </w:r>
          </w:p>
        </w:tc>
        <w:tc>
          <w:tcPr>
            <w:tcW w:w="1121"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0,4</w:t>
            </w:r>
          </w:p>
        </w:tc>
        <w:tc>
          <w:tcPr>
            <w:tcW w:w="950"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6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20.</w:t>
            </w:r>
          </w:p>
        </w:tc>
        <w:tc>
          <w:tcPr>
            <w:tcW w:w="213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Trecere de pietoni</w:t>
            </w:r>
          </w:p>
        </w:tc>
        <w:tc>
          <w:tcPr>
            <w:tcW w:w="212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Primarie</w:t>
            </w:r>
          </w:p>
        </w:tc>
        <w:tc>
          <w:tcPr>
            <w:tcW w:w="148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60 m</w:t>
            </w:r>
          </w:p>
        </w:tc>
        <w:tc>
          <w:tcPr>
            <w:tcW w:w="1368"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C3</w:t>
            </w:r>
          </w:p>
        </w:tc>
        <w:tc>
          <w:tcPr>
            <w:tcW w:w="1121"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0,4</w:t>
            </w:r>
          </w:p>
        </w:tc>
        <w:tc>
          <w:tcPr>
            <w:tcW w:w="950"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6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21.</w:t>
            </w:r>
          </w:p>
        </w:tc>
        <w:tc>
          <w:tcPr>
            <w:tcW w:w="213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Trecere de pietoni</w:t>
            </w:r>
          </w:p>
        </w:tc>
        <w:tc>
          <w:tcPr>
            <w:tcW w:w="212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Cimitir</w:t>
            </w:r>
          </w:p>
        </w:tc>
        <w:tc>
          <w:tcPr>
            <w:tcW w:w="148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60 m</w:t>
            </w:r>
          </w:p>
        </w:tc>
        <w:tc>
          <w:tcPr>
            <w:tcW w:w="1368"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C3</w:t>
            </w:r>
          </w:p>
        </w:tc>
        <w:tc>
          <w:tcPr>
            <w:tcW w:w="1121"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0,4</w:t>
            </w:r>
          </w:p>
        </w:tc>
        <w:tc>
          <w:tcPr>
            <w:tcW w:w="950"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6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22.</w:t>
            </w:r>
          </w:p>
        </w:tc>
        <w:tc>
          <w:tcPr>
            <w:tcW w:w="213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Trecere de pietoni</w:t>
            </w:r>
          </w:p>
        </w:tc>
        <w:tc>
          <w:tcPr>
            <w:tcW w:w="212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Loc de joaca pentru copii</w:t>
            </w:r>
          </w:p>
        </w:tc>
        <w:tc>
          <w:tcPr>
            <w:tcW w:w="148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60 m</w:t>
            </w:r>
          </w:p>
        </w:tc>
        <w:tc>
          <w:tcPr>
            <w:tcW w:w="1368"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C3</w:t>
            </w:r>
          </w:p>
        </w:tc>
        <w:tc>
          <w:tcPr>
            <w:tcW w:w="1121"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0,4</w:t>
            </w:r>
          </w:p>
        </w:tc>
        <w:tc>
          <w:tcPr>
            <w:tcW w:w="950"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6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23.</w:t>
            </w:r>
          </w:p>
        </w:tc>
        <w:tc>
          <w:tcPr>
            <w:tcW w:w="213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Intersectie 2 drumuri comunale principale</w:t>
            </w:r>
          </w:p>
        </w:tc>
        <w:tc>
          <w:tcPr>
            <w:tcW w:w="212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In centrul comunei</w:t>
            </w:r>
          </w:p>
        </w:tc>
        <w:tc>
          <w:tcPr>
            <w:tcW w:w="1486"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90 mp</w:t>
            </w:r>
          </w:p>
        </w:tc>
        <w:tc>
          <w:tcPr>
            <w:tcW w:w="1368"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C3</w:t>
            </w:r>
          </w:p>
        </w:tc>
        <w:tc>
          <w:tcPr>
            <w:tcW w:w="1121"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0,4</w:t>
            </w:r>
          </w:p>
        </w:tc>
        <w:tc>
          <w:tcPr>
            <w:tcW w:w="950" w:type="dxa"/>
            <w:shd w:val="clear" w:color="auto" w:fill="auto"/>
            <w:noWrap w:val="0"/>
            <w:vAlign w:val="top"/>
          </w:tcPr>
          <w:p>
            <w:pPr>
              <w:pStyle w:val="13"/>
              <w:tabs>
                <w:tab w:val="left" w:pos="1440"/>
              </w:tabs>
              <w:spacing w:line="240" w:lineRule="auto"/>
              <w:ind w:left="0"/>
              <w:rPr>
                <w:color w:val="000000"/>
                <w:sz w:val="28"/>
                <w:szCs w:val="28"/>
              </w:rPr>
            </w:pPr>
            <w:r>
              <w:rPr>
                <w:color w:val="000000"/>
                <w:sz w:val="28"/>
                <w:szCs w:val="28"/>
              </w:rPr>
              <w:t>15</w:t>
            </w:r>
          </w:p>
        </w:tc>
      </w:tr>
    </w:tbl>
    <w:p>
      <w:pPr>
        <w:pStyle w:val="13"/>
        <w:tabs>
          <w:tab w:val="left" w:pos="1440"/>
        </w:tabs>
        <w:spacing w:line="240" w:lineRule="auto"/>
        <w:ind w:left="0"/>
        <w:rPr>
          <w:color w:val="000000"/>
          <w:sz w:val="28"/>
          <w:szCs w:val="28"/>
        </w:rPr>
      </w:pPr>
    </w:p>
    <w:p>
      <w:pPr>
        <w:pStyle w:val="13"/>
        <w:tabs>
          <w:tab w:val="left" w:pos="1440"/>
        </w:tabs>
        <w:spacing w:after="0" w:line="240" w:lineRule="auto"/>
        <w:ind w:left="0"/>
        <w:jc w:val="both"/>
        <w:rPr>
          <w:sz w:val="28"/>
          <w:szCs w:val="28"/>
        </w:rPr>
      </w:pPr>
      <w:r>
        <w:rPr>
          <w:color w:val="000000"/>
          <w:sz w:val="28"/>
          <w:szCs w:val="28"/>
        </w:rPr>
        <w:t>În cadrul delegarii de gestiune, atât operatorul, cât și autoritatea publica, își împart celelalte riscuri.</w:t>
      </w:r>
    </w:p>
    <w:p>
      <w:pPr>
        <w:tabs>
          <w:tab w:val="left" w:pos="14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Cs/>
          <w:color w:val="000000"/>
          <w:sz w:val="28"/>
          <w:szCs w:val="28"/>
        </w:rPr>
        <w:t>Riscurile de exploatare ale delegarii de gestiune prevăzute în matricea de mai jos se vor repartiza între autoritatea delegata și operator, astfel încât serviciul de iluminat public să funcționeze în condiții optime.</w:t>
      </w:r>
    </w:p>
    <w:p>
      <w:pPr>
        <w:tabs>
          <w:tab w:val="left" w:pos="1440"/>
        </w:tabs>
        <w:spacing w:line="240" w:lineRule="auto"/>
        <w:ind w:right="-180"/>
        <w:jc w:val="both"/>
        <w:rPr>
          <w:rFonts w:ascii="Times New Roman" w:hAnsi="Times New Roman" w:eastAsia="Times New Roman" w:cs="Times New Roman"/>
          <w:bCs/>
          <w:color w:val="000000"/>
          <w:sz w:val="28"/>
          <w:szCs w:val="28"/>
        </w:rPr>
      </w:pPr>
      <w:r>
        <w:rPr>
          <w:rFonts w:ascii="Times New Roman" w:hAnsi="Times New Roman" w:eastAsia="Times New Roman" w:cs="Times New Roman"/>
          <w:bCs/>
          <w:color w:val="000000"/>
          <w:sz w:val="28"/>
          <w:szCs w:val="28"/>
        </w:rPr>
        <w:t>Operatorul își asuma prin oferta depusă riscurile conform celor precizate in Matricea riscurilor – Anexa 1 .</w:t>
      </w:r>
    </w:p>
    <w:p>
      <w:pPr>
        <w:tabs>
          <w:tab w:val="left" w:pos="1440"/>
        </w:tabs>
        <w:spacing w:line="240" w:lineRule="auto"/>
        <w:ind w:right="-180"/>
        <w:jc w:val="both"/>
        <w:rPr>
          <w:rFonts w:ascii="Times New Roman" w:hAnsi="Times New Roman" w:eastAsia="Times New Roman" w:cs="Times New Roman"/>
          <w:bCs/>
          <w:sz w:val="28"/>
          <w:szCs w:val="28"/>
        </w:rPr>
      </w:pPr>
      <w:r>
        <w:rPr>
          <w:rFonts w:ascii="Times New Roman" w:hAnsi="Times New Roman" w:eastAsia="Times New Roman" w:cs="Times New Roman"/>
          <w:b/>
          <w:color w:val="000000"/>
          <w:sz w:val="28"/>
          <w:szCs w:val="28"/>
        </w:rPr>
        <w:t xml:space="preserve">Art. 17 </w:t>
      </w:r>
      <w:r>
        <w:rPr>
          <w:rFonts w:ascii="Times New Roman" w:hAnsi="Times New Roman" w:eastAsia="Times New Roman" w:cs="Times New Roman"/>
          <w:bCs/>
          <w:sz w:val="28"/>
          <w:szCs w:val="28"/>
        </w:rPr>
        <w:t>Situatia podurilor este.</w:t>
      </w:r>
    </w:p>
    <w:p>
      <w:pPr>
        <w:tabs>
          <w:tab w:val="left" w:pos="1440"/>
        </w:tabs>
        <w:spacing w:line="240" w:lineRule="auto"/>
        <w:ind w:right="-180"/>
        <w:jc w:val="both"/>
        <w:rPr>
          <w:rFonts w:ascii="Times New Roman" w:hAnsi="Times New Roman" w:eastAsia="Times New Roman" w:cs="Times New Roman"/>
          <w:bCs/>
          <w:sz w:val="28"/>
          <w:szCs w:val="28"/>
        </w:rPr>
      </w:pPr>
      <w:r>
        <w:rPr>
          <w:rFonts w:ascii="Times New Roman" w:hAnsi="Times New Roman" w:eastAsia="Times New Roman" w:cs="Times New Roman"/>
          <w:bCs/>
          <w:sz w:val="28"/>
          <w:szCs w:val="28"/>
        </w:rPr>
        <w:t>In comuna Preutesti  , nu sunt poduri, ci numai un podet mic. Desi comuna se afla pe valea riului Somuzul Mare, acesta nu trece prin intravilan, asa ca podul peste Somuzul Mare aflat in extravilan, nu necesita iluminat special.</w:t>
      </w:r>
    </w:p>
    <w:p>
      <w:pPr>
        <w:tabs>
          <w:tab w:val="left" w:pos="14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
          <w:bCs/>
          <w:color w:val="000000"/>
          <w:sz w:val="28"/>
          <w:szCs w:val="28"/>
        </w:rPr>
        <w:t>Art.18</w:t>
      </w:r>
      <w:r>
        <w:rPr>
          <w:rFonts w:ascii="Times New Roman" w:hAnsi="Times New Roman" w:eastAsia="Times New Roman" w:cs="Times New Roman"/>
          <w:bCs/>
          <w:color w:val="000000"/>
          <w:sz w:val="28"/>
          <w:szCs w:val="28"/>
        </w:rPr>
        <w:t xml:space="preserve">  Documente obligatorii care vor fi prezentate în oferta tehnică și care vor rămâne operaționale</w:t>
      </w:r>
    </w:p>
    <w:p>
      <w:pPr>
        <w:tabs>
          <w:tab w:val="left" w:pos="14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Cs/>
          <w:color w:val="000000"/>
          <w:sz w:val="28"/>
          <w:szCs w:val="28"/>
        </w:rPr>
        <w:t>a)Pentru Aparate de iluminat</w:t>
      </w:r>
    </w:p>
    <w:p>
      <w:pPr>
        <w:tabs>
          <w:tab w:val="left" w:pos="14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Cs/>
          <w:color w:val="000000"/>
          <w:sz w:val="28"/>
          <w:szCs w:val="28"/>
        </w:rPr>
        <w:tab/>
      </w:r>
      <w:r>
        <w:rPr>
          <w:rFonts w:ascii="Times New Roman" w:hAnsi="Times New Roman" w:eastAsia="Times New Roman" w:cs="Times New Roman"/>
          <w:bCs/>
          <w:color w:val="000000"/>
          <w:sz w:val="28"/>
          <w:szCs w:val="28"/>
        </w:rPr>
        <w:t xml:space="preserve">- Prospect tehnic/fișă de catalog aparat de iluminat </w:t>
      </w:r>
    </w:p>
    <w:p>
      <w:pPr>
        <w:tabs>
          <w:tab w:val="left" w:pos="14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Cs/>
          <w:color w:val="000000"/>
          <w:sz w:val="28"/>
          <w:szCs w:val="28"/>
        </w:rPr>
        <w:tab/>
      </w:r>
      <w:r>
        <w:rPr>
          <w:rFonts w:ascii="Times New Roman" w:hAnsi="Times New Roman" w:eastAsia="Times New Roman" w:cs="Times New Roman"/>
          <w:bCs/>
          <w:color w:val="000000"/>
          <w:sz w:val="28"/>
          <w:szCs w:val="28"/>
        </w:rPr>
        <w:t>- Declarațe de conformitate CE producător, din care să rezulte caracteristicile tehnice solicitate şi conformitatea cu standardele EN60598</w:t>
      </w:r>
    </w:p>
    <w:p>
      <w:pPr>
        <w:tabs>
          <w:tab w:val="left" w:pos="14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Cs/>
          <w:color w:val="000000"/>
          <w:sz w:val="28"/>
          <w:szCs w:val="28"/>
        </w:rPr>
        <w:tab/>
      </w:r>
      <w:r>
        <w:rPr>
          <w:rFonts w:ascii="Times New Roman" w:hAnsi="Times New Roman" w:eastAsia="Times New Roman" w:cs="Times New Roman"/>
          <w:bCs/>
          <w:color w:val="000000"/>
          <w:sz w:val="28"/>
          <w:szCs w:val="28"/>
        </w:rPr>
        <w:t>- Certificat ENEC sau echivalent care demonstreaza respectarea  standardelor de siguranta in domeniul electric</w:t>
      </w:r>
    </w:p>
    <w:p>
      <w:pPr>
        <w:tabs>
          <w:tab w:val="left" w:pos="14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Cs/>
          <w:color w:val="000000"/>
          <w:sz w:val="28"/>
          <w:szCs w:val="28"/>
        </w:rPr>
        <w:tab/>
      </w:r>
      <w:r>
        <w:rPr>
          <w:rFonts w:ascii="Times New Roman" w:hAnsi="Times New Roman" w:eastAsia="Times New Roman" w:cs="Times New Roman"/>
          <w:bCs/>
          <w:color w:val="000000"/>
          <w:sz w:val="28"/>
          <w:szCs w:val="28"/>
        </w:rPr>
        <w:t>- Certificat de garanție</w:t>
      </w:r>
    </w:p>
    <w:p>
      <w:pPr>
        <w:tabs>
          <w:tab w:val="left" w:pos="14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Cs/>
          <w:color w:val="000000"/>
          <w:sz w:val="28"/>
          <w:szCs w:val="28"/>
        </w:rPr>
        <w:tab/>
      </w:r>
      <w:r>
        <w:rPr>
          <w:rFonts w:ascii="Times New Roman" w:hAnsi="Times New Roman" w:eastAsia="Times New Roman" w:cs="Times New Roman"/>
          <w:bCs/>
          <w:color w:val="000000"/>
          <w:sz w:val="28"/>
          <w:szCs w:val="28"/>
        </w:rPr>
        <w:t>- Raport de încercări IP pentru fiecare tip de aparat de iluminat, emis de un organism recunoscut. Se va face dovada acreditării laboaratorului care a emis raportul ( daca este cazul)</w:t>
      </w:r>
    </w:p>
    <w:p>
      <w:pPr>
        <w:tabs>
          <w:tab w:val="left" w:pos="14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Cs/>
          <w:color w:val="000000"/>
          <w:sz w:val="28"/>
          <w:szCs w:val="28"/>
        </w:rPr>
        <w:tab/>
      </w:r>
      <w:r>
        <w:rPr>
          <w:rFonts w:ascii="Times New Roman" w:hAnsi="Times New Roman" w:eastAsia="Times New Roman" w:cs="Times New Roman"/>
          <w:bCs/>
          <w:color w:val="000000"/>
          <w:sz w:val="28"/>
          <w:szCs w:val="28"/>
        </w:rPr>
        <w:t>b)Pentru Surse de alimentare</w:t>
      </w:r>
    </w:p>
    <w:p>
      <w:pPr>
        <w:tabs>
          <w:tab w:val="left" w:pos="14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Cs/>
          <w:color w:val="000000"/>
          <w:sz w:val="28"/>
          <w:szCs w:val="28"/>
        </w:rPr>
        <w:t xml:space="preserve">- Prospect tehnic/fișă de catalog </w:t>
      </w:r>
    </w:p>
    <w:p>
      <w:pPr>
        <w:tabs>
          <w:tab w:val="left" w:pos="14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Cs/>
          <w:color w:val="000000"/>
          <w:sz w:val="28"/>
          <w:szCs w:val="28"/>
        </w:rPr>
        <w:t>- Declarație de conformitate CE producător</w:t>
      </w:r>
    </w:p>
    <w:p>
      <w:pPr>
        <w:tabs>
          <w:tab w:val="left" w:pos="14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
          <w:bCs/>
          <w:color w:val="000000"/>
          <w:sz w:val="28"/>
          <w:szCs w:val="28"/>
        </w:rPr>
        <w:t>Art.19</w:t>
      </w:r>
      <w:r>
        <w:rPr>
          <w:rFonts w:ascii="Times New Roman" w:hAnsi="Times New Roman" w:eastAsia="Times New Roman" w:cs="Times New Roman"/>
          <w:bCs/>
          <w:color w:val="000000"/>
          <w:sz w:val="28"/>
          <w:szCs w:val="28"/>
        </w:rPr>
        <w:t xml:space="preserve"> Riscurile de exploatare ale delegarii de gestiune prevăzute în matricea de mai jos se vor repartiza între autoritatea delegata și operator, astfel încât serviciul de iluminat public să funcționeze în condiții optime.</w:t>
      </w:r>
    </w:p>
    <w:p>
      <w:pPr>
        <w:tabs>
          <w:tab w:val="left" w:pos="14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Cs/>
          <w:color w:val="000000"/>
          <w:sz w:val="28"/>
          <w:szCs w:val="28"/>
        </w:rPr>
        <w:t>Operatorul își asuma prin oferta depusă riscurile conform celor precizate in Matricea riscurilor – Anexa 1 .</w:t>
      </w:r>
      <w:r>
        <w:rPr>
          <w:rFonts w:ascii="Times New Roman" w:hAnsi="Times New Roman" w:eastAsia="Times New Roman" w:cs="Times New Roman"/>
          <w:bCs/>
          <w:color w:val="000000"/>
          <w:sz w:val="28"/>
          <w:szCs w:val="28"/>
        </w:rPr>
        <w:tab/>
      </w:r>
    </w:p>
    <w:p>
      <w:pPr>
        <w:tabs>
          <w:tab w:val="left" w:pos="14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
          <w:bCs/>
          <w:color w:val="000000"/>
          <w:sz w:val="28"/>
          <w:szCs w:val="28"/>
        </w:rPr>
        <w:t>Art.20</w:t>
      </w:r>
      <w:r>
        <w:rPr>
          <w:rFonts w:ascii="Times New Roman" w:hAnsi="Times New Roman" w:eastAsia="Times New Roman" w:cs="Times New Roman"/>
          <w:bCs/>
          <w:color w:val="000000"/>
          <w:sz w:val="28"/>
          <w:szCs w:val="28"/>
        </w:rPr>
        <w:t xml:space="preserve"> La depunerea ofertei se vor prezenta mostre sub formă de pliante, catalog,etc pentru aparatele de iluminat cu LED. Este obligatorie inscripționarea CE precum și inscripționarea tipului de aparat și a mărcii producătoare.</w:t>
      </w:r>
    </w:p>
    <w:p>
      <w:pPr>
        <w:tabs>
          <w:tab w:val="left" w:pos="14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Cs/>
          <w:color w:val="000000"/>
          <w:sz w:val="28"/>
          <w:szCs w:val="28"/>
        </w:rPr>
        <w:t>Tipul aparatului de iluminat și marca producătorului astfel inscripționate trebuie să se identifice cu tipul aparatelor de iluminat și producătorul pentru care s-au prezentat atestatele și buletinele de încercare solicitate, cu cele prezentate ca mostre, cu cele folosite în proiectele luminotehnice și cu cele ofertate.</w:t>
      </w:r>
    </w:p>
    <w:p>
      <w:pPr>
        <w:tabs>
          <w:tab w:val="left" w:pos="14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Cs/>
          <w:color w:val="000000"/>
          <w:sz w:val="28"/>
          <w:szCs w:val="28"/>
        </w:rPr>
        <w:t>În cazul în care ofertanții nu prezintă mostrele solicitate, însoțite de documentele menționate mai sus, ofertele vor fi declarate neconforme.</w:t>
      </w:r>
    </w:p>
    <w:p>
      <w:pPr>
        <w:tabs>
          <w:tab w:val="left" w:pos="14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
          <w:bCs/>
          <w:color w:val="000000"/>
          <w:sz w:val="28"/>
          <w:szCs w:val="28"/>
        </w:rPr>
        <w:t>Art.21</w:t>
      </w:r>
      <w:r>
        <w:rPr>
          <w:rFonts w:ascii="Times New Roman" w:hAnsi="Times New Roman" w:eastAsia="Times New Roman" w:cs="Times New Roman"/>
          <w:bCs/>
          <w:color w:val="000000"/>
          <w:sz w:val="28"/>
          <w:szCs w:val="28"/>
        </w:rPr>
        <w:t xml:space="preserve"> Autoritatea delegata recomandă efectuarea unei vizite în teren, cu înștiințarea prealabila a Autoritatii delegate, ocazie cu care își vor culege toate informațiile necesare întocmirii ofertei .</w:t>
      </w:r>
    </w:p>
    <w:p>
      <w:pPr>
        <w:tabs>
          <w:tab w:val="left" w:pos="14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
          <w:bCs/>
          <w:sz w:val="28"/>
          <w:szCs w:val="28"/>
        </w:rPr>
        <w:t>Art.22</w:t>
      </w:r>
      <w:r>
        <w:rPr>
          <w:rFonts w:ascii="Times New Roman" w:hAnsi="Times New Roman" w:eastAsia="Times New Roman" w:cs="Times New Roman"/>
          <w:bCs/>
          <w:sz w:val="28"/>
          <w:szCs w:val="28"/>
        </w:rPr>
        <w:t xml:space="preserve"> Mostre produse ofertate</w:t>
      </w:r>
    </w:p>
    <w:p>
      <w:pPr>
        <w:tabs>
          <w:tab w:val="left" w:pos="14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Cs/>
          <w:sz w:val="28"/>
          <w:szCs w:val="28"/>
        </w:rPr>
        <w:t>Se vor prezenta  mostre sub formă de pliante, catalog,etc pentru aparatele de iluminat.</w:t>
      </w:r>
    </w:p>
    <w:p>
      <w:pPr>
        <w:tabs>
          <w:tab w:val="left" w:pos="14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
          <w:bCs/>
          <w:color w:val="000000"/>
          <w:sz w:val="28"/>
          <w:szCs w:val="28"/>
        </w:rPr>
        <w:t>Art.23</w:t>
      </w:r>
      <w:r>
        <w:rPr>
          <w:rFonts w:ascii="Times New Roman" w:hAnsi="Times New Roman" w:eastAsia="Times New Roman" w:cs="Times New Roman"/>
          <w:bCs/>
          <w:color w:val="000000"/>
          <w:sz w:val="28"/>
          <w:szCs w:val="28"/>
        </w:rPr>
        <w:t xml:space="preserve"> Garanții</w:t>
      </w:r>
    </w:p>
    <w:p>
      <w:pPr>
        <w:tabs>
          <w:tab w:val="left" w:pos="14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Cs/>
          <w:color w:val="000000"/>
          <w:sz w:val="28"/>
          <w:szCs w:val="28"/>
        </w:rPr>
        <w:t>a) Ofertanții au obligația de a respecta următoarele garanții minime solicitate de autoritatea contractanta:</w:t>
      </w:r>
    </w:p>
    <w:p>
      <w:pPr>
        <w:tabs>
          <w:tab w:val="left" w:pos="72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Cs/>
          <w:color w:val="000000"/>
          <w:sz w:val="28"/>
          <w:szCs w:val="28"/>
        </w:rPr>
        <w:tab/>
      </w:r>
      <w:r>
        <w:rPr>
          <w:rFonts w:ascii="Times New Roman" w:hAnsi="Times New Roman" w:eastAsia="Times New Roman" w:cs="Times New Roman"/>
          <w:bCs/>
          <w:color w:val="000000"/>
          <w:sz w:val="28"/>
          <w:szCs w:val="28"/>
        </w:rPr>
        <w:t>o</w:t>
      </w:r>
      <w:r>
        <w:rPr>
          <w:rFonts w:ascii="Times New Roman" w:hAnsi="Times New Roman" w:eastAsia="Times New Roman" w:cs="Times New Roman"/>
          <w:bCs/>
          <w:color w:val="000000"/>
          <w:sz w:val="28"/>
          <w:szCs w:val="28"/>
        </w:rPr>
        <w:tab/>
      </w:r>
      <w:r>
        <w:rPr>
          <w:rFonts w:ascii="Times New Roman" w:hAnsi="Times New Roman" w:eastAsia="Times New Roman" w:cs="Times New Roman"/>
          <w:bCs/>
          <w:color w:val="000000"/>
          <w:sz w:val="28"/>
          <w:szCs w:val="28"/>
        </w:rPr>
        <w:t>servicii de mentenanță: 2 ani;</w:t>
      </w:r>
    </w:p>
    <w:p>
      <w:pPr>
        <w:tabs>
          <w:tab w:val="left" w:pos="72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Cs/>
          <w:color w:val="000000"/>
          <w:sz w:val="28"/>
          <w:szCs w:val="28"/>
        </w:rPr>
        <w:tab/>
      </w:r>
      <w:r>
        <w:rPr>
          <w:rFonts w:ascii="Times New Roman" w:hAnsi="Times New Roman" w:eastAsia="Times New Roman" w:cs="Times New Roman"/>
          <w:bCs/>
          <w:color w:val="000000"/>
          <w:sz w:val="28"/>
          <w:szCs w:val="28"/>
        </w:rPr>
        <w:t>o</w:t>
      </w:r>
      <w:r>
        <w:rPr>
          <w:rFonts w:ascii="Times New Roman" w:hAnsi="Times New Roman" w:eastAsia="Times New Roman" w:cs="Times New Roman"/>
          <w:bCs/>
          <w:color w:val="000000"/>
          <w:sz w:val="28"/>
          <w:szCs w:val="28"/>
        </w:rPr>
        <w:tab/>
      </w:r>
      <w:r>
        <w:rPr>
          <w:rFonts w:ascii="Times New Roman" w:hAnsi="Times New Roman" w:eastAsia="Times New Roman" w:cs="Times New Roman"/>
          <w:bCs/>
          <w:color w:val="000000"/>
          <w:sz w:val="28"/>
          <w:szCs w:val="28"/>
        </w:rPr>
        <w:t>aparate de iluminat complet echipate conform cerinte caiet de sarcini (surse de alimentare, surse led, deflectoare, etc): 5 ani;</w:t>
      </w:r>
    </w:p>
    <w:p>
      <w:pPr>
        <w:tabs>
          <w:tab w:val="left" w:pos="14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Cs/>
          <w:color w:val="000000"/>
          <w:sz w:val="28"/>
          <w:szCs w:val="28"/>
        </w:rPr>
        <w:t>b) Ofertantul care va oferi perioada de garanție pentru servicii de mentenanță cea mai mare, va primi punctaj maxim de 25 puncte, iar restul ofertelor vor primi punctaj conform formulei:</w:t>
      </w:r>
    </w:p>
    <w:p>
      <w:pPr>
        <w:tabs>
          <w:tab w:val="left" w:pos="14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Cs/>
          <w:color w:val="000000"/>
          <w:sz w:val="28"/>
          <w:szCs w:val="28"/>
        </w:rPr>
        <w:tab/>
      </w:r>
      <w:r>
        <w:rPr>
          <w:rFonts w:ascii="Times New Roman" w:hAnsi="Times New Roman" w:eastAsia="Times New Roman" w:cs="Times New Roman"/>
          <w:bCs/>
          <w:color w:val="000000"/>
          <w:sz w:val="28"/>
          <w:szCs w:val="28"/>
        </w:rPr>
        <w:t>Punctaj = (Garanție oferită / Garanție maximă) x 25 puncte</w:t>
      </w:r>
    </w:p>
    <w:p>
      <w:pPr>
        <w:tabs>
          <w:tab w:val="left" w:pos="14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Cs/>
          <w:color w:val="000000"/>
          <w:sz w:val="28"/>
          <w:szCs w:val="28"/>
        </w:rPr>
        <w:tab/>
      </w:r>
      <w:r>
        <w:rPr>
          <w:rFonts w:ascii="Times New Roman" w:hAnsi="Times New Roman" w:eastAsia="Times New Roman" w:cs="Times New Roman"/>
          <w:bCs/>
          <w:color w:val="000000"/>
          <w:sz w:val="28"/>
          <w:szCs w:val="28"/>
        </w:rPr>
        <w:t xml:space="preserve">Garanția maximă solicitată este de 5 ani, ofertele ce depășesc aceasta valoare nu vor fi punctate suplimentar. </w:t>
      </w:r>
    </w:p>
    <w:p>
      <w:pPr>
        <w:tabs>
          <w:tab w:val="left" w:pos="14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Cs/>
          <w:color w:val="000000"/>
          <w:sz w:val="28"/>
          <w:szCs w:val="28"/>
        </w:rPr>
        <w:t xml:space="preserve">c) Pe perioda în care lucrările de mentenanță și echipamanetele sunt în perioada de garanție, ofertanții au obligația de a remedia pe cheltuiala proprie orice defect apărut în instalația pusă în funcțiune. </w:t>
      </w:r>
    </w:p>
    <w:p>
      <w:pPr>
        <w:tabs>
          <w:tab w:val="left" w:pos="14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
          <w:bCs/>
          <w:color w:val="000000"/>
          <w:sz w:val="28"/>
          <w:szCs w:val="28"/>
        </w:rPr>
        <w:t>Art.24</w:t>
      </w:r>
      <w:r>
        <w:rPr>
          <w:rFonts w:ascii="Times New Roman" w:hAnsi="Times New Roman" w:eastAsia="Times New Roman" w:cs="Times New Roman"/>
          <w:bCs/>
          <w:color w:val="000000"/>
          <w:sz w:val="28"/>
          <w:szCs w:val="28"/>
        </w:rPr>
        <w:t xml:space="preserve"> Ofertanții își vor lua măsuri specifice de protecție a echipamentelor electrice și electronice ofertate.</w:t>
      </w:r>
    </w:p>
    <w:p>
      <w:pPr>
        <w:tabs>
          <w:tab w:val="left" w:pos="14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Cs/>
          <w:color w:val="000000"/>
          <w:sz w:val="28"/>
          <w:szCs w:val="28"/>
        </w:rPr>
        <w:t>Datele și informațiile cuprinse în propunerea tehnică vor fi utilizate la întocmirea propunerii financiare constituind date de fundamentare a acesteia. Orice necorelare între datele și informațiile cuprinse în propunerea tehnică și datele și valorile cuprinse în propunerea financiară dă dreptul Autoritații delegate să respingă în totalitate oferta care nu respectă aceasta cerință.</w:t>
      </w:r>
    </w:p>
    <w:p>
      <w:pPr>
        <w:tabs>
          <w:tab w:val="left" w:pos="1440"/>
        </w:tabs>
        <w:spacing w:line="240" w:lineRule="auto"/>
        <w:ind w:right="-180"/>
        <w:jc w:val="both"/>
        <w:rPr>
          <w:rFonts w:ascii="Times New Roman" w:hAnsi="Times New Roman" w:cs="Times New Roman"/>
          <w:sz w:val="28"/>
          <w:szCs w:val="28"/>
        </w:rPr>
      </w:pPr>
    </w:p>
    <w:p>
      <w:pPr>
        <w:tabs>
          <w:tab w:val="left" w:pos="1440"/>
        </w:tabs>
        <w:spacing w:line="240" w:lineRule="auto"/>
        <w:ind w:right="-180"/>
        <w:jc w:val="center"/>
        <w:rPr>
          <w:rFonts w:ascii="Times New Roman" w:hAnsi="Times New Roman" w:cs="Times New Roman"/>
          <w:sz w:val="28"/>
          <w:szCs w:val="28"/>
        </w:rPr>
      </w:pPr>
      <w:r>
        <w:rPr>
          <w:rFonts w:ascii="Times New Roman" w:hAnsi="Times New Roman" w:eastAsia="Times New Roman" w:cs="Times New Roman"/>
          <w:b/>
          <w:bCs/>
          <w:color w:val="000000"/>
          <w:sz w:val="28"/>
          <w:szCs w:val="28"/>
        </w:rPr>
        <w:t>Capitolul 7.</w:t>
      </w:r>
      <w:r>
        <w:rPr>
          <w:rFonts w:ascii="Times New Roman" w:hAnsi="Times New Roman" w:eastAsia="Times New Roman" w:cs="Times New Roman"/>
          <w:b/>
          <w:bCs/>
          <w:color w:val="000000"/>
          <w:sz w:val="28"/>
          <w:szCs w:val="28"/>
        </w:rPr>
        <w:tab/>
      </w:r>
      <w:r>
        <w:rPr>
          <w:rFonts w:ascii="Times New Roman" w:hAnsi="Times New Roman" w:eastAsia="Times New Roman" w:cs="Times New Roman"/>
          <w:b/>
          <w:bCs/>
          <w:color w:val="000000"/>
          <w:sz w:val="28"/>
          <w:szCs w:val="28"/>
        </w:rPr>
        <w:t>Conținutul propunerii financiare</w:t>
      </w:r>
    </w:p>
    <w:p>
      <w:pPr>
        <w:tabs>
          <w:tab w:val="left" w:pos="1440"/>
        </w:tabs>
        <w:spacing w:line="240" w:lineRule="auto"/>
        <w:ind w:right="-180"/>
        <w:jc w:val="both"/>
        <w:rPr>
          <w:rFonts w:ascii="Times New Roman" w:hAnsi="Times New Roman" w:eastAsia="Times New Roman" w:cs="Times New Roman"/>
          <w:b/>
          <w:bCs/>
          <w:color w:val="000000"/>
          <w:sz w:val="28"/>
          <w:szCs w:val="28"/>
        </w:rPr>
      </w:pPr>
    </w:p>
    <w:p>
      <w:pPr>
        <w:tabs>
          <w:tab w:val="left" w:pos="14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
          <w:bCs/>
          <w:color w:val="000000"/>
          <w:sz w:val="28"/>
          <w:szCs w:val="28"/>
        </w:rPr>
        <w:t>Art.25</w:t>
      </w:r>
      <w:r>
        <w:rPr>
          <w:rFonts w:ascii="Times New Roman" w:hAnsi="Times New Roman" w:eastAsia="Times New Roman" w:cs="Times New Roman"/>
          <w:bCs/>
          <w:color w:val="000000"/>
          <w:sz w:val="28"/>
          <w:szCs w:val="28"/>
        </w:rPr>
        <w:t xml:space="preserve"> Propunerea financiară se va prezenta sub forma de tarife formate din manopera, materiale, transport, utilaje, alte cheltuieli, în vederea susținerii fiecărui tarif ofertat.</w:t>
      </w:r>
    </w:p>
    <w:p>
      <w:pPr>
        <w:tabs>
          <w:tab w:val="left" w:pos="14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
          <w:bCs/>
          <w:color w:val="000000"/>
          <w:sz w:val="28"/>
          <w:szCs w:val="28"/>
        </w:rPr>
        <w:t>Art.26</w:t>
      </w:r>
      <w:r>
        <w:rPr>
          <w:rFonts w:ascii="Times New Roman" w:hAnsi="Times New Roman" w:eastAsia="Times New Roman" w:cs="Times New Roman"/>
          <w:bCs/>
          <w:color w:val="000000"/>
          <w:sz w:val="28"/>
          <w:szCs w:val="28"/>
        </w:rPr>
        <w:t xml:space="preserve"> Cantitățile de servicii de mentenanță ce trebuiesc incluse în propunerea financiară se vor stabilii de comun acord in Contractul de delegare de gestiune. Activitățile descrise se vor cota în totalitate. </w:t>
      </w:r>
    </w:p>
    <w:p>
      <w:pPr>
        <w:tabs>
          <w:tab w:val="left" w:pos="1440"/>
        </w:tabs>
        <w:spacing w:line="240" w:lineRule="auto"/>
        <w:ind w:right="-180"/>
        <w:rPr>
          <w:rFonts w:ascii="Times New Roman" w:hAnsi="Times New Roman" w:eastAsia="Times New Roman" w:cs="Times New Roman"/>
          <w:b/>
          <w:bCs/>
          <w:color w:val="000000"/>
          <w:sz w:val="28"/>
          <w:szCs w:val="28"/>
        </w:rPr>
      </w:pPr>
    </w:p>
    <w:p>
      <w:pPr>
        <w:tabs>
          <w:tab w:val="left" w:pos="1440"/>
        </w:tabs>
        <w:spacing w:line="240" w:lineRule="auto"/>
        <w:ind w:right="-180"/>
        <w:jc w:val="center"/>
        <w:rPr>
          <w:rFonts w:ascii="Times New Roman" w:hAnsi="Times New Roman" w:cs="Times New Roman"/>
          <w:sz w:val="28"/>
          <w:szCs w:val="28"/>
        </w:rPr>
      </w:pPr>
      <w:r>
        <w:rPr>
          <w:rFonts w:ascii="Times New Roman" w:hAnsi="Times New Roman" w:eastAsia="Times New Roman" w:cs="Times New Roman"/>
          <w:b/>
          <w:bCs/>
          <w:color w:val="000000"/>
          <w:sz w:val="28"/>
          <w:szCs w:val="28"/>
        </w:rPr>
        <w:t>Capitolul  8.  Punctajul maxim</w:t>
      </w:r>
    </w:p>
    <w:p>
      <w:pPr>
        <w:tabs>
          <w:tab w:val="left" w:pos="1440"/>
        </w:tabs>
        <w:spacing w:line="240" w:lineRule="auto"/>
        <w:ind w:right="-180"/>
        <w:jc w:val="both"/>
        <w:rPr>
          <w:rFonts w:ascii="Times New Roman" w:hAnsi="Times New Roman" w:eastAsia="Times New Roman" w:cs="Times New Roman"/>
          <w:b/>
          <w:bCs/>
          <w:color w:val="000000"/>
          <w:sz w:val="28"/>
          <w:szCs w:val="28"/>
        </w:rPr>
      </w:pPr>
    </w:p>
    <w:p>
      <w:pPr>
        <w:tabs>
          <w:tab w:val="left" w:pos="1440"/>
        </w:tabs>
        <w:spacing w:line="240" w:lineRule="auto"/>
        <w:ind w:right="-180"/>
        <w:jc w:val="both"/>
        <w:rPr>
          <w:rFonts w:ascii="Times New Roman" w:hAnsi="Times New Roman" w:cs="Times New Roman"/>
          <w:sz w:val="28"/>
          <w:szCs w:val="28"/>
        </w:rPr>
      </w:pPr>
      <w:r>
        <w:rPr>
          <w:rFonts w:ascii="Times New Roman" w:hAnsi="Times New Roman" w:eastAsia="Times New Roman" w:cs="Times New Roman"/>
          <w:b/>
          <w:bCs/>
          <w:color w:val="000000"/>
          <w:sz w:val="28"/>
          <w:szCs w:val="28"/>
        </w:rPr>
        <w:t>Art.27</w:t>
      </w:r>
      <w:r>
        <w:rPr>
          <w:rFonts w:ascii="Times New Roman" w:hAnsi="Times New Roman" w:eastAsia="Times New Roman" w:cs="Times New Roman"/>
          <w:bCs/>
          <w:color w:val="000000"/>
          <w:sz w:val="28"/>
          <w:szCs w:val="28"/>
        </w:rPr>
        <w:t xml:space="preserve">  Punctajul maxim acordat ofertei globale este de 100 de puncte.</w:t>
      </w:r>
    </w:p>
    <w:p>
      <w:pPr>
        <w:tabs>
          <w:tab w:val="left" w:pos="1440"/>
        </w:tabs>
        <w:spacing w:line="240" w:lineRule="auto"/>
        <w:ind w:right="-180"/>
        <w:jc w:val="both"/>
        <w:rPr>
          <w:rFonts w:ascii="Times New Roman" w:hAnsi="Times New Roman" w:eastAsia="Times New Roman" w:cs="Times New Roman"/>
          <w:bCs/>
          <w:color w:val="000000"/>
          <w:sz w:val="28"/>
          <w:szCs w:val="28"/>
        </w:rPr>
      </w:pPr>
      <w:r>
        <w:rPr>
          <w:rFonts w:ascii="Times New Roman" w:hAnsi="Times New Roman" w:eastAsia="Times New Roman" w:cs="Times New Roman"/>
          <w:b/>
          <w:bCs/>
          <w:color w:val="000000"/>
          <w:sz w:val="28"/>
          <w:szCs w:val="28"/>
        </w:rPr>
        <w:t>Art.28</w:t>
      </w:r>
      <w:r>
        <w:rPr>
          <w:rFonts w:ascii="Times New Roman" w:hAnsi="Times New Roman" w:eastAsia="Times New Roman" w:cs="Times New Roman"/>
          <w:bCs/>
          <w:color w:val="000000"/>
          <w:sz w:val="28"/>
          <w:szCs w:val="28"/>
        </w:rPr>
        <w:t xml:space="preserve">  Oferta globală validă care obține 100 de puncte sau se apropie cel mai mult de 100 de puncte va fi declarată câștigătoare.Punctajul se calculeaza astfel:</w:t>
      </w:r>
    </w:p>
    <w:p>
      <w:pPr>
        <w:numPr>
          <w:ilvl w:val="0"/>
          <w:numId w:val="4"/>
        </w:numPr>
        <w:spacing w:line="240" w:lineRule="auto"/>
        <w:jc w:val="both"/>
        <w:rPr>
          <w:rFonts w:ascii="Times New Roman" w:hAnsi="Times New Roman" w:eastAsia="Times New Roman" w:cs="Times New Roman"/>
          <w:b/>
          <w:sz w:val="28"/>
          <w:szCs w:val="28"/>
          <w:lang/>
        </w:rPr>
      </w:pPr>
      <w:r>
        <w:rPr>
          <w:rFonts w:ascii="Times New Roman" w:hAnsi="Times New Roman" w:eastAsia="Times New Roman" w:cs="Times New Roman"/>
          <w:bCs/>
          <w:color w:val="000000"/>
          <w:sz w:val="28"/>
          <w:szCs w:val="28"/>
        </w:rPr>
        <w:t>Valoarea cea mai mica = 40 puncte</w:t>
      </w:r>
    </w:p>
    <w:p>
      <w:pPr>
        <w:numPr>
          <w:ilvl w:val="0"/>
          <w:numId w:val="4"/>
        </w:numPr>
        <w:spacing w:line="240" w:lineRule="auto"/>
        <w:jc w:val="both"/>
        <w:rPr>
          <w:rFonts w:ascii="Times New Roman" w:hAnsi="Times New Roman" w:eastAsia="Times New Roman" w:cs="Times New Roman"/>
          <w:b/>
          <w:sz w:val="28"/>
          <w:szCs w:val="28"/>
          <w:lang/>
        </w:rPr>
      </w:pPr>
      <w:r>
        <w:rPr>
          <w:rFonts w:ascii="Times New Roman" w:hAnsi="Times New Roman" w:eastAsia="Times New Roman" w:cs="Times New Roman"/>
          <w:bCs/>
          <w:color w:val="000000"/>
          <w:sz w:val="28"/>
          <w:szCs w:val="28"/>
        </w:rPr>
        <w:t>Garantia maxima = 25 puncte</w:t>
      </w:r>
    </w:p>
    <w:p>
      <w:pPr>
        <w:numPr>
          <w:ilvl w:val="0"/>
          <w:numId w:val="4"/>
        </w:numPr>
        <w:spacing w:line="240" w:lineRule="auto"/>
        <w:jc w:val="both"/>
        <w:rPr>
          <w:rFonts w:ascii="Times New Roman" w:hAnsi="Times New Roman" w:eastAsia="Times New Roman" w:cs="Times New Roman"/>
          <w:b/>
          <w:sz w:val="28"/>
          <w:szCs w:val="28"/>
          <w:lang/>
        </w:rPr>
      </w:pPr>
      <w:r>
        <w:rPr>
          <w:rFonts w:ascii="Times New Roman" w:hAnsi="Times New Roman" w:eastAsia="Times New Roman" w:cs="Times New Roman"/>
          <w:bCs/>
          <w:color w:val="000000"/>
          <w:sz w:val="28"/>
          <w:szCs w:val="28"/>
        </w:rPr>
        <w:t>Dotarea tehnica proprie = 15 puncte</w:t>
      </w:r>
    </w:p>
    <w:p>
      <w:pPr>
        <w:numPr>
          <w:ilvl w:val="0"/>
          <w:numId w:val="4"/>
        </w:numPr>
        <w:spacing w:line="240" w:lineRule="auto"/>
        <w:jc w:val="both"/>
        <w:rPr>
          <w:rFonts w:ascii="Times New Roman" w:hAnsi="Times New Roman" w:eastAsia="Times New Roman" w:cs="Times New Roman"/>
          <w:b/>
          <w:sz w:val="28"/>
          <w:szCs w:val="28"/>
          <w:lang/>
        </w:rPr>
      </w:pPr>
      <w:r>
        <w:rPr>
          <w:rFonts w:ascii="Times New Roman" w:hAnsi="Times New Roman" w:eastAsia="Times New Roman" w:cs="Times New Roman"/>
          <w:bCs/>
          <w:color w:val="000000"/>
          <w:sz w:val="28"/>
          <w:szCs w:val="28"/>
        </w:rPr>
        <w:t>Experienta in domeniu = 20 puncte ( prioritate are operatorul care a facut mentenanta la Sistemul de iluminat public Preutesti     ).</w:t>
      </w:r>
    </w:p>
    <w:p>
      <w:pPr>
        <w:spacing w:line="240" w:lineRule="auto"/>
        <w:jc w:val="center"/>
        <w:rPr>
          <w:rFonts w:ascii="Times New Roman" w:hAnsi="Times New Roman" w:eastAsia="Times New Roman" w:cs="Times New Roman"/>
          <w:b/>
          <w:sz w:val="28"/>
          <w:szCs w:val="28"/>
          <w:lang/>
        </w:rPr>
      </w:pPr>
    </w:p>
    <w:p>
      <w:pPr>
        <w:spacing w:line="240" w:lineRule="auto"/>
        <w:jc w:val="center"/>
        <w:rPr>
          <w:rFonts w:ascii="Times New Roman" w:hAnsi="Times New Roman" w:cs="Times New Roman"/>
          <w:sz w:val="28"/>
          <w:szCs w:val="28"/>
        </w:rPr>
      </w:pPr>
      <w:r>
        <w:rPr>
          <w:rFonts w:ascii="Times New Roman" w:hAnsi="Times New Roman" w:eastAsia="Times New Roman" w:cs="Times New Roman"/>
          <w:b/>
          <w:sz w:val="28"/>
          <w:szCs w:val="28"/>
          <w:lang/>
        </w:rPr>
        <w:t>Capitolul 9.</w:t>
      </w:r>
      <w:r>
        <w:rPr>
          <w:rFonts w:ascii="Times New Roman" w:hAnsi="Times New Roman" w:eastAsia="Times New Roman" w:cs="Times New Roman"/>
          <w:b/>
          <w:sz w:val="28"/>
          <w:szCs w:val="28"/>
          <w:lang/>
        </w:rPr>
        <w:tab/>
      </w:r>
      <w:r>
        <w:rPr>
          <w:rFonts w:ascii="Times New Roman" w:hAnsi="Times New Roman" w:eastAsia="Times New Roman" w:cs="Times New Roman"/>
          <w:b/>
          <w:sz w:val="28"/>
          <w:szCs w:val="28"/>
          <w:lang/>
        </w:rPr>
        <w:t>Aprobarea și decontarea cheltuielilor operative</w:t>
      </w:r>
    </w:p>
    <w:p>
      <w:pPr>
        <w:spacing w:line="240" w:lineRule="auto"/>
        <w:jc w:val="both"/>
        <w:rPr>
          <w:rFonts w:ascii="Times New Roman" w:hAnsi="Times New Roman" w:eastAsia="Times New Roman" w:cs="Times New Roman"/>
          <w:b/>
          <w:sz w:val="28"/>
          <w:szCs w:val="28"/>
          <w:lang/>
        </w:rPr>
      </w:pPr>
    </w:p>
    <w:p>
      <w:pPr>
        <w:spacing w:line="240" w:lineRule="auto"/>
        <w:jc w:val="both"/>
        <w:rPr>
          <w:rFonts w:ascii="Times New Roman" w:hAnsi="Times New Roman" w:cs="Times New Roman"/>
          <w:sz w:val="28"/>
          <w:szCs w:val="28"/>
        </w:rPr>
      </w:pPr>
      <w:r>
        <w:rPr>
          <w:rFonts w:ascii="Times New Roman" w:hAnsi="Times New Roman" w:eastAsia="Times New Roman" w:cs="Times New Roman"/>
          <w:b/>
          <w:bCs/>
          <w:sz w:val="28"/>
          <w:szCs w:val="28"/>
          <w:lang/>
        </w:rPr>
        <w:t>Art.2</w:t>
      </w:r>
      <w:r>
        <w:rPr>
          <w:rFonts w:ascii="Times New Roman" w:hAnsi="Times New Roman" w:eastAsia="Times New Roman" w:cs="Times New Roman"/>
          <w:b/>
          <w:bCs/>
          <w:sz w:val="28"/>
          <w:szCs w:val="28"/>
          <w:lang w:val="en-US"/>
        </w:rPr>
        <w:t>9</w:t>
      </w:r>
      <w:r>
        <w:rPr>
          <w:rFonts w:ascii="Times New Roman" w:hAnsi="Times New Roman" w:eastAsia="Times New Roman" w:cs="Times New Roman"/>
          <w:sz w:val="28"/>
          <w:szCs w:val="28"/>
          <w:lang/>
        </w:rPr>
        <w:t xml:space="preserve"> Aprobarea și decontarea cheltuielilor operative, se vor parcurge următoarele proceduri:</w:t>
      </w:r>
    </w:p>
    <w:p>
      <w:pPr>
        <w:numPr>
          <w:ilvl w:val="0"/>
          <w:numId w:val="5"/>
        </w:numPr>
        <w:spacing w:line="240" w:lineRule="auto"/>
        <w:jc w:val="both"/>
        <w:rPr>
          <w:rFonts w:ascii="Times New Roman" w:hAnsi="Times New Roman" w:cs="Times New Roman"/>
          <w:sz w:val="28"/>
          <w:szCs w:val="28"/>
        </w:rPr>
      </w:pPr>
      <w:r>
        <w:rPr>
          <w:rFonts w:ascii="Times New Roman" w:hAnsi="Times New Roman" w:eastAsia="Times New Roman" w:cs="Times New Roman"/>
          <w:sz w:val="28"/>
          <w:szCs w:val="28"/>
          <w:lang/>
        </w:rPr>
        <w:t>se vor face recepții lunare ale lucrărilor efectuate, în urma cărora se vor încheia procese verbale pe baza cărora se vor emite situațiile de plată</w:t>
      </w:r>
    </w:p>
    <w:p>
      <w:pPr>
        <w:numPr>
          <w:ilvl w:val="0"/>
          <w:numId w:val="5"/>
        </w:numPr>
        <w:spacing w:line="240" w:lineRule="auto"/>
        <w:jc w:val="both"/>
        <w:rPr>
          <w:rFonts w:ascii="Times New Roman" w:hAnsi="Times New Roman" w:cs="Times New Roman"/>
          <w:sz w:val="28"/>
          <w:szCs w:val="28"/>
        </w:rPr>
      </w:pPr>
      <w:r>
        <w:rPr>
          <w:rFonts w:ascii="Times New Roman" w:hAnsi="Times New Roman" w:eastAsia="Times New Roman" w:cs="Times New Roman"/>
          <w:sz w:val="28"/>
          <w:szCs w:val="28"/>
          <w:lang/>
        </w:rPr>
        <w:t>la recepții vor participa din partea Autoritatea delegataului persoanele împuternicite de acesta</w:t>
      </w:r>
    </w:p>
    <w:p>
      <w:pPr>
        <w:numPr>
          <w:ilvl w:val="0"/>
          <w:numId w:val="5"/>
        </w:numPr>
        <w:spacing w:line="240" w:lineRule="auto"/>
        <w:jc w:val="both"/>
        <w:rPr>
          <w:rFonts w:ascii="Times New Roman" w:hAnsi="Times New Roman" w:cs="Times New Roman"/>
          <w:sz w:val="28"/>
          <w:szCs w:val="28"/>
        </w:rPr>
      </w:pPr>
      <w:r>
        <w:rPr>
          <w:rFonts w:ascii="Times New Roman" w:hAnsi="Times New Roman" w:eastAsia="Times New Roman" w:cs="Times New Roman"/>
          <w:sz w:val="28"/>
          <w:szCs w:val="28"/>
          <w:lang/>
        </w:rPr>
        <w:t>ori de câte ori este cazul, se vor recepționa lucrările care devin ascunse, conform reglementărilor în vigoare</w:t>
      </w:r>
    </w:p>
    <w:p>
      <w:pPr>
        <w:numPr>
          <w:ilvl w:val="0"/>
          <w:numId w:val="5"/>
        </w:numPr>
        <w:spacing w:line="240" w:lineRule="auto"/>
        <w:jc w:val="both"/>
        <w:rPr>
          <w:rFonts w:ascii="Times New Roman" w:hAnsi="Times New Roman" w:cs="Times New Roman"/>
          <w:sz w:val="28"/>
          <w:szCs w:val="28"/>
        </w:rPr>
      </w:pPr>
      <w:r>
        <w:rPr>
          <w:rFonts w:ascii="Times New Roman" w:hAnsi="Times New Roman" w:eastAsia="Times New Roman" w:cs="Times New Roman"/>
          <w:sz w:val="28"/>
          <w:szCs w:val="28"/>
          <w:lang/>
        </w:rPr>
        <w:t>dacă reprezentanții autorizați ai Autoritatea delegataului nu se prezintă la recepția lunară a lucrărilor, operatorul va notifica această situație și după 10 zile de la notificare lucrările se vor considera recepționate în lipsa beneficiarului și se vor putea emite situațiile de plată</w:t>
      </w:r>
    </w:p>
    <w:p>
      <w:pPr>
        <w:numPr>
          <w:ilvl w:val="0"/>
          <w:numId w:val="5"/>
        </w:numPr>
        <w:spacing w:line="240" w:lineRule="auto"/>
        <w:jc w:val="both"/>
        <w:rPr>
          <w:rFonts w:ascii="Times New Roman" w:hAnsi="Times New Roman" w:cs="Times New Roman"/>
          <w:sz w:val="28"/>
          <w:szCs w:val="28"/>
        </w:rPr>
      </w:pPr>
      <w:r>
        <w:rPr>
          <w:rFonts w:ascii="Times New Roman" w:hAnsi="Times New Roman" w:eastAsia="Times New Roman" w:cs="Times New Roman"/>
          <w:sz w:val="28"/>
          <w:szCs w:val="28"/>
          <w:lang/>
        </w:rPr>
        <w:t>operatorul va elabora situațiile de plată conform proceselor verbale de recepție și după aprobarea acestora de către Autoritatea delegata va emite factura corespondentă</w:t>
      </w:r>
    </w:p>
    <w:p>
      <w:pPr>
        <w:spacing w:line="240" w:lineRule="auto"/>
        <w:rPr>
          <w:rFonts w:ascii="Times New Roman" w:hAnsi="Times New Roman" w:eastAsia="Times New Roman" w:cs="Times New Roman"/>
          <w:b/>
          <w:color w:val="000000"/>
          <w:sz w:val="28"/>
          <w:szCs w:val="28"/>
        </w:rPr>
      </w:pPr>
    </w:p>
    <w:p>
      <w:pPr>
        <w:spacing w:line="240" w:lineRule="auto"/>
        <w:jc w:val="center"/>
        <w:rPr>
          <w:rFonts w:ascii="Times New Roman" w:hAnsi="Times New Roman" w:cs="Times New Roman"/>
          <w:sz w:val="28"/>
          <w:szCs w:val="28"/>
        </w:rPr>
      </w:pPr>
      <w:r>
        <w:rPr>
          <w:rFonts w:ascii="Times New Roman" w:hAnsi="Times New Roman" w:eastAsia="Times New Roman" w:cs="Times New Roman"/>
          <w:b/>
          <w:color w:val="000000"/>
          <w:sz w:val="28"/>
          <w:szCs w:val="28"/>
        </w:rPr>
        <w:t>Capitolul 10. Prestarea serviciului de iluminat public</w:t>
      </w:r>
    </w:p>
    <w:p>
      <w:pPr>
        <w:spacing w:line="240" w:lineRule="auto"/>
        <w:jc w:val="both"/>
        <w:rPr>
          <w:rFonts w:ascii="Times New Roman" w:hAnsi="Times New Roman" w:eastAsia="Times New Roman" w:cs="Times New Roman"/>
          <w:b/>
          <w:color w:val="000000"/>
          <w:sz w:val="28"/>
          <w:szCs w:val="28"/>
        </w:rPr>
      </w:pPr>
    </w:p>
    <w:p>
      <w:pPr>
        <w:spacing w:line="240" w:lineRule="auto"/>
        <w:jc w:val="both"/>
        <w:rPr>
          <w:rFonts w:ascii="Times New Roman" w:hAnsi="Times New Roman" w:cs="Times New Roman"/>
          <w:sz w:val="28"/>
          <w:szCs w:val="28"/>
        </w:rPr>
      </w:pPr>
      <w:r>
        <w:rPr>
          <w:rFonts w:ascii="Times New Roman" w:hAnsi="Times New Roman" w:eastAsia="Times New Roman" w:cs="Times New Roman"/>
          <w:b/>
          <w:bCs/>
          <w:color w:val="000000"/>
          <w:sz w:val="28"/>
          <w:szCs w:val="28"/>
        </w:rPr>
        <w:t>Art.30</w:t>
      </w:r>
      <w:r>
        <w:rPr>
          <w:rFonts w:ascii="Times New Roman" w:hAnsi="Times New Roman" w:eastAsia="Times New Roman" w:cs="Times New Roman"/>
          <w:color w:val="000000"/>
          <w:sz w:val="28"/>
          <w:szCs w:val="28"/>
        </w:rPr>
        <w:t xml:space="preserve">  Prestarea serviciului de iluminat public se va executa astfel încât să se realizeze:</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a. verificarea şi supravegherea continuă a funcţionării reţelelor electrice de joasă tensiune, posturilor de transformare, cutiilor de distribuţie şi a aparatelor de iluminat aflate în proprietatea Autoritatea delegataului și date în gestiune operatorului;</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b. corectarea şi adaptarea regimului de exploatare la cerinţele utilizatorului;</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c. controlul calităţii serviciului asigurat;</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d. întreţinerea tuturor componentelor sistemului de iluminat public;</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e. menţinerea în stare de funcţionare la parametrii proiectaţi a sistemului de iluminat public;</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f. măsurile necesare pentru prevenirea deteriorării componentelor sistemului de iluminat public;</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 xml:space="preserve">g. întocmirea sau reactualizarea, după caz, a documentaţiei tehnice necesare realizării unei exploatări economice şi în condiţii de siguranţa; </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h. respectarea instrucţiunilor furnizorilor de echipamente;</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i. funcţionarea instalaţiilor de iluminat, în conformitate cu programele aprobate;</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j. respectarea instrucţiunilor /procedurilor interne şi actualizarea documentaţiei;</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k. respectarea regulamentului de serviciu aprobat de autoritatea administraţiei publice locale, în condiţiile legii;</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l. funcţionarea pe baza principiilor de eficienţă economică , având ca obiectiv reducerea costurilor specifice pentru realizarea serviciului de iluminat public;</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 xml:space="preserve">m. menţinerea capacităţilor de realizare a serviciului şi exploatarea eficientă a acestora, prin urmărirea sistematică a comportării reţelelor electrice, echipamentelor, întreţinerea acestora, planificarea reparaţiilor capitale, realizarea operativ şi cu costuri minime a reviziilor/reparaţiilor curente; </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n. îndeplinirea indicatorilor de calitate a serviciului prestat, specificaţi în regulamentul serviciului;</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o. încheierea contractelor cu furnizorii de utilităţi, servicii, materiale şi piese de schimb, prin aplicarea procedurilor concurenţiale impuse de normele legale în vigoare privind achiziţionarea de bunuri sau lucrări;</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 xml:space="preserve">p. un sistem prin care să poată primi informaţii sau să ofere informaţii sau să ofere consultanţă şi informaţii privind orice problemă sau incidente care afectează sau pot afecta siguranţa, disponibilitatea şi/sau alţi indicatori de performanţă ai sistemului de iluminat; </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 xml:space="preserve">q. asigurarea, pe toată durata de executare a serviciului, de personal calificat şi în număr suficient pentru îndeplinirea activităţilor ce fac obiectul serviciului de iluminat public; </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r. urmărirea şi înregistrarea indicatorilor de performanţă aprobaţi pentru serviciul de iluminat public se va face de către operator şi verificaţi de autoritatea delegata;</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s. procedurile de lucru pentru remediere/soluționare vor fi stabilite conform regulamentului serviciului, însă vor trebui să conțină următoarele:</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 xml:space="preserve">t. Verificarea periodică împreună cu reprezentanții desemnați ai comunei </w:t>
      </w:r>
      <w:r>
        <w:rPr>
          <w:rFonts w:ascii="Times New Roman" w:hAnsi="Times New Roman" w:cs="Times New Roman"/>
          <w:sz w:val="28"/>
          <w:szCs w:val="28"/>
        </w:rPr>
        <w:t xml:space="preserve">Preutesti      </w:t>
      </w:r>
      <w:r>
        <w:rPr>
          <w:rFonts w:ascii="Times New Roman" w:hAnsi="Times New Roman" w:eastAsia="Times New Roman" w:cs="Times New Roman"/>
          <w:color w:val="000000"/>
          <w:sz w:val="28"/>
          <w:szCs w:val="28"/>
        </w:rPr>
        <w:t>a stării de funcționare a S.I.P</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ț. emiterea de către autoritatea locală a unor comenzii de lucru pentru remedierea defectelor constatate la verificarile efectuate</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 xml:space="preserve">u. în cazul defecțiunilor de alimentare pe arii extinse se va anunța Compartimentul de specialitate din cadrul comunei </w:t>
      </w:r>
      <w:r>
        <w:rPr>
          <w:rFonts w:ascii="Times New Roman" w:hAnsi="Times New Roman" w:cs="Times New Roman"/>
          <w:sz w:val="28"/>
          <w:szCs w:val="28"/>
        </w:rPr>
        <w:t>Preutesti</w:t>
      </w:r>
      <w:r>
        <w:rPr>
          <w:rFonts w:ascii="Times New Roman" w:hAnsi="Times New Roman" w:eastAsia="Times New Roman" w:cs="Times New Roman"/>
          <w:color w:val="000000"/>
          <w:sz w:val="28"/>
          <w:szCs w:val="28"/>
        </w:rPr>
        <w:t>, dispeceratul furnizorului de energie electrică(deranjamente) cu localizarea cât mai exactă a zonelor respective;</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v. menținerea (asigurarea permanenței în funcționare) a echipamentelor aferente sistemului de iluminat public, unui raport optim între parametrii luminotehnici la nivelul cerințelor standardului SR 13201 fi a consumului de energie electrică, printr-un serviciu de întretinere-mentinere eficient.</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x. îndeplinirea indicatorilor de performanță pe baza ofertei tehnice. Urmărirea indicatorilor de performanță și reactualizarea lor conform evoluției sistemului de iluminat.</w:t>
      </w:r>
    </w:p>
    <w:p>
      <w:pPr>
        <w:spacing w:line="240" w:lineRule="auto"/>
        <w:jc w:val="both"/>
        <w:rPr>
          <w:rFonts w:ascii="Times New Roman" w:hAnsi="Times New Roman" w:cs="Times New Roman"/>
          <w:sz w:val="28"/>
          <w:szCs w:val="28"/>
        </w:rPr>
      </w:pPr>
      <w:r>
        <w:rPr>
          <w:rFonts w:ascii="Times New Roman" w:hAnsi="Times New Roman" w:eastAsia="Times New Roman" w:cs="Times New Roman"/>
          <w:b/>
          <w:bCs/>
          <w:color w:val="000000"/>
          <w:sz w:val="28"/>
          <w:szCs w:val="28"/>
        </w:rPr>
        <w:t>Art.31</w:t>
      </w:r>
      <w:r>
        <w:rPr>
          <w:rFonts w:ascii="Times New Roman" w:hAnsi="Times New Roman" w:eastAsia="Times New Roman" w:cs="Times New Roman"/>
          <w:color w:val="000000"/>
          <w:sz w:val="28"/>
          <w:szCs w:val="28"/>
        </w:rPr>
        <w:t xml:space="preserve"> Standarde, normative, fișe tehnologice și precripții care trebuiesc respectate la execuția lucrărilor de întreținere-menținere a echipamentelor urbane. Instalațiile electrice trebuie executate în conformitate cu prezentul proiect – partea scrisă și partea desenată – și în conformitate cu urmatoarele standarde, normative și prescripții:</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w:t>
      </w: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I7 – Normativ pentru proiectarea și executarea instalatiilor electrice cu tensiuni pana la 1000 Vc.a. si 1500 Vc.a.</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w:t>
      </w: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I7.1 – Instructiuni tehnice privind calculul de dimensionare al coloanelor electrice din cladiri de locuit</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w:t>
      </w: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 xml:space="preserve">I18 – Normativ pentru proiecatarea si executarea instalatiilor interioare de telecomunicatii din cladiri civile si industriale </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w:t>
      </w: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I20 - Normativ pentru proiecatarea si executarea instalatiilor de protectie contra tarznetului a constructiilor</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w:t>
      </w: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P118 – Norme tenice de proiectare si de realizare a constructiilor privind protectia impotriva focului</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w:t>
      </w: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PE107 – Normativ pentru proiectarea si executarea retelelor de cabluri electrice</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w:t>
      </w: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PE124 – Normativ privind alimentarea cu energie electrica a consumatorilor industriali si similari</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w:t>
      </w: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PE136 – Normativ republican privind folosirea rationala a energiei electrice la iluminatul artificial si in utilizari casnice</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w:t>
      </w: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STAS 553/2 – Aparate de comutatie pana la 1000 Vc.a. si pana la 4000 A. Conditii tehnice</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w:t>
      </w: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STAS 881 – Masini electrice asincrone trivazate. Puteri, tensiuni, turatii nominale</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w:t>
      </w: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STAS 2612 – Protectie impotriva electrucutarilor. Limite admise</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w:t>
      </w: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STAS 3184 – Prize, fise si cuple pentru instalatiile electrice pana la 380 Vc.a si pana la 250 Vc.a. si pana la 25 A. Conditii tehnice speciale de calitate</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w:t>
      </w: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STAS 5325 – Grade normale de protectie asigurate prin carcase. Clasificare si metode de verificare</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w:t>
      </w: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 xml:space="preserve">STAS 6865 – Conducte cu izolatie de PVC pentru instalatii electrice fixe </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w:t>
      </w: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STAS 6990 – Tuburi pentru instalatii electrice di policlorura de vinil neplastifiat</w:t>
      </w:r>
    </w:p>
    <w:p>
      <w:pPr>
        <w:pBdr>
          <w:bottom w:val="single" w:color="auto" w:sz="4" w:space="1"/>
        </w:pBd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w:t>
      </w: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STAS 8114/42 – Aparate de iluminat. Conditii tehnice generale</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w:t>
      </w: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STAS 8666 – Intrerupatoare automate mici pentri protectia conductoarelor din instalatiile electrice de curent alternativ pana la 415 V si 82 A</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w:t>
      </w: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STAS 8778/1,2 – Cabluri de energie cu izolatie si manta de PVC</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w:t>
      </w: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STAS 9954/1,2,3 – Instalatii si echipamente electrice in zone cu pericol de explozie. Prescriptii de proiectare si montare</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w:t>
      </w: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STAS 1220/1,4,5,6 – Cabluri si cordoane cu izolatia de cauciuc</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w:t>
      </w: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STAS 12604 – Protectie impotriva electrocutarilor prin atingere indirecta. Insatalatii electrice fixe. Prescriptii generale</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w:t>
      </w: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STAS 12604/5 – Idem. Prescriptii de proiectare si de executie</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w:t>
      </w: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C56 – Normativ pentru verificarea calitatii lucrarilor de constructii si a instalatiilor aferente</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Prezenta lista nu este restrictiva, se va lua in considerare intotdeauna ultima editie a actului normativ. In cazul a doua prevederi complementare se va aplica masura cea mai restrictivă.</w:t>
      </w:r>
    </w:p>
    <w:p>
      <w:pPr>
        <w:spacing w:line="240" w:lineRule="auto"/>
        <w:jc w:val="both"/>
        <w:rPr>
          <w:rFonts w:ascii="Times New Roman" w:hAnsi="Times New Roman" w:eastAsia="Times New Roman" w:cs="Times New Roman"/>
          <w:color w:val="000000"/>
          <w:sz w:val="28"/>
          <w:szCs w:val="28"/>
        </w:rPr>
      </w:pPr>
    </w:p>
    <w:p>
      <w:pPr>
        <w:spacing w:line="240" w:lineRule="auto"/>
        <w:jc w:val="center"/>
        <w:rPr>
          <w:rFonts w:ascii="Times New Roman" w:hAnsi="Times New Roman" w:eastAsia="Times New Roman" w:cs="Times New Roman"/>
          <w:b/>
          <w:color w:val="000000"/>
          <w:sz w:val="28"/>
          <w:szCs w:val="28"/>
        </w:rPr>
      </w:pPr>
      <w:r>
        <w:rPr>
          <w:rFonts w:ascii="Times New Roman" w:hAnsi="Times New Roman" w:eastAsia="Times New Roman" w:cs="Times New Roman"/>
          <w:b/>
          <w:color w:val="000000"/>
          <w:sz w:val="28"/>
          <w:szCs w:val="28"/>
        </w:rPr>
        <w:t>Capitolul 11. Protectia mediului inconjurator</w:t>
      </w:r>
    </w:p>
    <w:p>
      <w:pPr>
        <w:spacing w:line="240" w:lineRule="auto"/>
        <w:jc w:val="center"/>
        <w:rPr>
          <w:rFonts w:ascii="Times New Roman" w:hAnsi="Times New Roman" w:cs="Times New Roman"/>
          <w:sz w:val="28"/>
          <w:szCs w:val="28"/>
        </w:rPr>
      </w:pPr>
    </w:p>
    <w:p>
      <w:pPr>
        <w:spacing w:line="240" w:lineRule="auto"/>
        <w:jc w:val="both"/>
        <w:rPr>
          <w:rFonts w:ascii="Times New Roman" w:hAnsi="Times New Roman" w:cs="Times New Roman"/>
          <w:sz w:val="28"/>
          <w:szCs w:val="28"/>
        </w:rPr>
      </w:pPr>
      <w:r>
        <w:rPr>
          <w:rFonts w:ascii="Times New Roman" w:hAnsi="Times New Roman" w:eastAsia="Times New Roman" w:cs="Times New Roman"/>
          <w:b/>
          <w:bCs/>
          <w:color w:val="000000"/>
          <w:sz w:val="28"/>
          <w:szCs w:val="28"/>
        </w:rPr>
        <w:t>Art.32</w:t>
      </w:r>
      <w:r>
        <w:rPr>
          <w:rFonts w:ascii="Times New Roman" w:hAnsi="Times New Roman" w:eastAsia="Times New Roman" w:cs="Times New Roman"/>
          <w:color w:val="000000"/>
          <w:sz w:val="28"/>
          <w:szCs w:val="28"/>
        </w:rPr>
        <w:t xml:space="preserve"> Operatorul care va executa lucrările de întreținere – menținere a echipamentelor,trebuie să acorde o foarte mare importanță în protecției mediului înconjurător. De aceea în cele ce urmează se va analiza influența lucrărilor asupra mediului.</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w:t>
      </w: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 xml:space="preserve">Protecţia calităţii apei </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Procesul tehnologic, specific executiei echipamentelor ce se vor utiliza, executiei lucrarilor de canalizare electrica subterana si a functionarii echipamentelor in cadrul operatiilor de intretinere / mentinere, nu  trebuie sa aiba impact asupra apei.</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w:t>
      </w: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 xml:space="preserve">Protecţia aerului </w:t>
      </w:r>
    </w:p>
    <w:p>
      <w:pPr>
        <w:spacing w:line="240" w:lineRule="auto"/>
        <w:jc w:val="both"/>
        <w:rPr>
          <w:rFonts w:ascii="Times New Roman" w:hAnsi="Times New Roman" w:cs="Times New Roman"/>
          <w:sz w:val="28"/>
          <w:szCs w:val="28"/>
        </w:rPr>
      </w:pPr>
      <w:r>
        <w:rPr>
          <w:rFonts w:ascii="Times New Roman" w:hAnsi="Times New Roman" w:eastAsia="Times New Roman" w:cs="Times New Roman"/>
          <w:b/>
          <w:bCs/>
          <w:color w:val="000000"/>
          <w:sz w:val="28"/>
          <w:szCs w:val="28"/>
        </w:rPr>
        <w:t>Art.33</w:t>
      </w: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Tehnologia specifica executiei echipamentelor, executiei lucrarilor de canalizare electrica subterana si a functionarii echipamentelor, nu trebuie să conducă la poluarea aerului decât în masura în care praful rezultat din prelucrari, spargeri şi sapaturi reduce întrucâtva calitatea acestuia. Pe tot parcursul derularii lucrarilor se vor lua masuri de reducere la maxim a prafului, atât prin udarea acestuia cât şi prin manevrarea cu grija a utilajelor folosite.</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w:t>
      </w: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Protecţia împotriva zgomotului şi vibraţiilor</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Se vor folosi scule şi utilaje cu grad sporit de silenţiozitate.</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w:t>
      </w: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Protecţia împotriva radiaţiilor</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Echipamentele si lucrarile care se vor executa  nu trebuie sa  produca radiaţii.</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w:t>
      </w: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Protecţia solului şi subsolului</w:t>
      </w:r>
    </w:p>
    <w:p>
      <w:pPr>
        <w:spacing w:line="240" w:lineRule="auto"/>
        <w:jc w:val="both"/>
        <w:rPr>
          <w:rFonts w:ascii="Times New Roman" w:hAnsi="Times New Roman" w:cs="Times New Roman"/>
          <w:sz w:val="28"/>
          <w:szCs w:val="28"/>
        </w:rPr>
      </w:pPr>
      <w:r>
        <w:rPr>
          <w:rFonts w:ascii="Times New Roman" w:hAnsi="Times New Roman" w:eastAsia="Times New Roman" w:cs="Times New Roman"/>
          <w:b/>
          <w:bCs/>
          <w:color w:val="000000"/>
          <w:sz w:val="28"/>
          <w:szCs w:val="28"/>
        </w:rPr>
        <w:t>Art.34</w:t>
      </w: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Deşi specificul lucrarilor de reţele afecteaza atat solul cât şi subsolul, acestea nu polueaza mediul decat prin faptul ca apar corpuri straine în sol (cablurile, electrozii şi platbanda, confecţionate din materiale greu degradabile). Aceste corpuri straine sunt protejate prin tehnologia de lucru pentru foarte multe acţiuni straine, conducând implicit şi la protecţia solului şi subsolului.</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w:t>
      </w: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Lucrarile din prezenta documentaţie nu afecteaza alte instalaţii sau cladiri, ele fiind în concordanţa cu PE 106/2003 şi NTE 007/08/00 şi nu produc agenţi poluanţi pentru aer sol sau apa freatica, pentru perioada de exploatare, iar prin masurile luate nu se produc accidente, decât în caz de calamitate naturala.</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w:t>
      </w: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In conformitate cu prevederile OUG 195/2005 – “Ordonanţa de urgenţa privind protecţia mediului”, la executarea lucrarilor din prezenta documentaţie se vor respecta prevederile privind protecţia aşezarilor umane, protecţia solului, protecţia atmosferei.</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w:t>
      </w: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Lucrarile cuprinse în prezenta documentatie, nu impun lucrari de reconstrucţie ecologica, deoarece nu afecteaza mediul înconjurator.</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w:t>
      </w: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La încheierea lucrărilor de construcţii montaj, constructorul va curaţa terenul şi va reface cadrul natural existent înainte de începerea lucrarilor. Surplusul de pamânt rezultat se va transporta la groapa de gunoi.</w:t>
      </w:r>
    </w:p>
    <w:p>
      <w:pPr>
        <w:spacing w:line="240" w:lineRule="auto"/>
        <w:jc w:val="both"/>
        <w:rPr>
          <w:rFonts w:ascii="Times New Roman" w:hAnsi="Times New Roman" w:cs="Times New Roman"/>
          <w:sz w:val="28"/>
          <w:szCs w:val="28"/>
        </w:rPr>
      </w:pPr>
      <w:r>
        <w:rPr>
          <w:rFonts w:ascii="Times New Roman" w:hAnsi="Times New Roman" w:eastAsia="Times New Roman" w:cs="Times New Roman"/>
          <w:color w:val="000000"/>
          <w:sz w:val="28"/>
          <w:szCs w:val="28"/>
        </w:rPr>
        <w:t>•</w:t>
      </w:r>
      <w:r>
        <w:rPr>
          <w:rFonts w:ascii="Times New Roman" w:hAnsi="Times New Roman" w:eastAsia="Times New Roman" w:cs="Times New Roman"/>
          <w:color w:val="000000"/>
          <w:sz w:val="28"/>
          <w:szCs w:val="28"/>
        </w:rPr>
        <w:tab/>
      </w:r>
      <w:r>
        <w:rPr>
          <w:rFonts w:ascii="Times New Roman" w:hAnsi="Times New Roman" w:eastAsia="Times New Roman" w:cs="Times New Roman"/>
          <w:color w:val="000000"/>
          <w:sz w:val="28"/>
          <w:szCs w:val="28"/>
        </w:rPr>
        <w:t>Execuția echipamentelor, execuția lucrărilor și funcționarea echipamentelor, se realizeaza în conformitate cu prevederile UE, cu privire la protecția mediului.</w:t>
      </w:r>
    </w:p>
    <w:p>
      <w:pPr>
        <w:tabs>
          <w:tab w:val="left" w:pos="394"/>
        </w:tabs>
        <w:autoSpaceDE w:val="0"/>
        <w:spacing w:line="240" w:lineRule="auto"/>
        <w:ind w:right="26"/>
        <w:jc w:val="both"/>
        <w:rPr>
          <w:rFonts w:ascii="Times New Roman" w:hAnsi="Times New Roman" w:eastAsia="Times New Roman" w:cs="Times New Roman"/>
          <w:b/>
          <w:bCs/>
          <w:color w:val="000000"/>
          <w:sz w:val="28"/>
          <w:szCs w:val="28"/>
          <w:lang/>
        </w:rPr>
      </w:pPr>
    </w:p>
    <w:p>
      <w:pPr>
        <w:tabs>
          <w:tab w:val="left" w:pos="394"/>
        </w:tabs>
        <w:autoSpaceDE w:val="0"/>
        <w:spacing w:line="240" w:lineRule="auto"/>
        <w:ind w:left="142" w:right="26"/>
        <w:jc w:val="both"/>
        <w:rPr>
          <w:rFonts w:ascii="Times New Roman" w:hAnsi="Times New Roman" w:cs="Times New Roman"/>
          <w:sz w:val="28"/>
          <w:szCs w:val="28"/>
        </w:rPr>
      </w:pPr>
      <w:r>
        <w:rPr>
          <w:rFonts w:ascii="Times New Roman" w:hAnsi="Times New Roman" w:eastAsia="Times New Roman" w:cs="Times New Roman"/>
          <w:b/>
          <w:bCs/>
          <w:color w:val="000000"/>
          <w:sz w:val="28"/>
          <w:szCs w:val="28"/>
          <w:lang w:val="fr-CA"/>
        </w:rPr>
        <w:t>ANEXA 1 – MATRICEA DE RISCURI</w:t>
      </w:r>
    </w:p>
    <w:p>
      <w:pPr>
        <w:tabs>
          <w:tab w:val="left" w:pos="394"/>
        </w:tabs>
        <w:autoSpaceDE w:val="0"/>
        <w:spacing w:line="240" w:lineRule="auto"/>
        <w:ind w:left="142" w:right="26"/>
        <w:jc w:val="both"/>
        <w:rPr>
          <w:rFonts w:ascii="Times New Roman" w:hAnsi="Times New Roman" w:cs="Times New Roman"/>
          <w:sz w:val="28"/>
          <w:szCs w:val="28"/>
        </w:rPr>
      </w:pPr>
      <w:r>
        <w:rPr>
          <w:rFonts w:ascii="Times New Roman" w:hAnsi="Times New Roman" w:eastAsia="Times New Roman" w:cs="Times New Roman"/>
          <w:b/>
          <w:bCs/>
          <w:color w:val="000000"/>
          <w:sz w:val="28"/>
          <w:szCs w:val="28"/>
          <w:lang w:val="fr-CA"/>
        </w:rPr>
        <w:t xml:space="preserve">FISE TEHNICE </w:t>
      </w:r>
    </w:p>
    <w:p>
      <w:pPr>
        <w:tabs>
          <w:tab w:val="left" w:pos="394"/>
        </w:tabs>
        <w:autoSpaceDE w:val="0"/>
        <w:spacing w:line="240" w:lineRule="auto"/>
        <w:ind w:left="142" w:right="26"/>
        <w:jc w:val="both"/>
        <w:rPr>
          <w:rFonts w:ascii="Times New Roman" w:hAnsi="Times New Roman" w:eastAsia="Times New Roman" w:cs="Times New Roman"/>
          <w:b/>
          <w:bCs/>
          <w:color w:val="000000"/>
          <w:sz w:val="28"/>
          <w:szCs w:val="28"/>
          <w:lang w:val="fr-CA"/>
        </w:rPr>
      </w:pPr>
    </w:p>
    <w:p>
      <w:pPr>
        <w:tabs>
          <w:tab w:val="left" w:pos="394"/>
        </w:tabs>
        <w:autoSpaceDE w:val="0"/>
        <w:spacing w:line="240" w:lineRule="auto"/>
        <w:ind w:right="26"/>
        <w:jc w:val="both"/>
        <w:rPr>
          <w:rFonts w:ascii="Times New Roman" w:hAnsi="Times New Roman" w:eastAsia="Times New Roman" w:cs="Times New Roman"/>
          <w:b/>
          <w:bCs/>
          <w:color w:val="000000"/>
          <w:sz w:val="28"/>
          <w:szCs w:val="28"/>
          <w:lang w:val="fr-CA"/>
        </w:rPr>
      </w:pPr>
    </w:p>
    <w:p>
      <w:pPr>
        <w:tabs>
          <w:tab w:val="left" w:pos="394"/>
        </w:tabs>
        <w:autoSpaceDE w:val="0"/>
        <w:spacing w:line="240" w:lineRule="auto"/>
        <w:ind w:right="26"/>
        <w:jc w:val="center"/>
        <w:rPr>
          <w:rFonts w:ascii="Times New Roman" w:hAnsi="Times New Roman" w:cs="Times New Roman"/>
          <w:sz w:val="28"/>
          <w:szCs w:val="28"/>
        </w:rPr>
      </w:pPr>
      <w:r>
        <w:rPr>
          <w:rFonts w:ascii="Times New Roman" w:hAnsi="Times New Roman" w:eastAsia="Times New Roman" w:cs="Times New Roman"/>
          <w:b/>
          <w:bCs/>
          <w:color w:val="000000"/>
          <w:sz w:val="28"/>
          <w:szCs w:val="28"/>
          <w:lang w:val="en-US"/>
        </w:rPr>
        <w:t>INTOCMIT</w:t>
      </w:r>
    </w:p>
    <w:p>
      <w:pPr>
        <w:tabs>
          <w:tab w:val="left" w:pos="394"/>
        </w:tabs>
        <w:autoSpaceDE w:val="0"/>
        <w:spacing w:line="240" w:lineRule="auto"/>
        <w:ind w:right="26"/>
        <w:jc w:val="center"/>
        <w:rPr>
          <w:rFonts w:ascii="Times New Roman" w:hAnsi="Times New Roman" w:cs="Times New Roman"/>
          <w:sz w:val="28"/>
          <w:szCs w:val="28"/>
        </w:rPr>
      </w:pPr>
      <w:r>
        <w:rPr>
          <w:rFonts w:ascii="Times New Roman" w:hAnsi="Times New Roman" w:eastAsia="Times New Roman" w:cs="Times New Roman"/>
          <w:b/>
          <w:bCs/>
          <w:color w:val="000000"/>
          <w:sz w:val="28"/>
          <w:szCs w:val="28"/>
          <w:lang w:val="en-US"/>
        </w:rPr>
        <w:t>S.C. YMELLDA S.R.L.</w:t>
      </w:r>
    </w:p>
    <w:p>
      <w:pPr>
        <w:tabs>
          <w:tab w:val="left" w:pos="394"/>
        </w:tabs>
        <w:autoSpaceDE w:val="0"/>
        <w:spacing w:line="240" w:lineRule="auto"/>
        <w:ind w:right="26"/>
        <w:jc w:val="center"/>
        <w:rPr>
          <w:rFonts w:ascii="Times New Roman" w:hAnsi="Times New Roman" w:cs="Times New Roman"/>
          <w:sz w:val="28"/>
          <w:szCs w:val="28"/>
        </w:rPr>
      </w:pPr>
      <w:r>
        <w:rPr>
          <w:rFonts w:ascii="Times New Roman" w:hAnsi="Times New Roman" w:eastAsia="Times New Roman" w:cs="Times New Roman"/>
          <w:b/>
          <w:bCs/>
          <w:color w:val="000000"/>
          <w:sz w:val="28"/>
          <w:szCs w:val="28"/>
          <w:lang w:val="en-US"/>
        </w:rPr>
        <w:t>Ing.Toader JOSAN</w:t>
      </w:r>
    </w:p>
    <w:sectPr>
      <w:pgSz w:w="11906" w:h="16838"/>
      <w:pgMar w:top="851" w:right="851" w:bottom="284" w:left="1418" w:header="709" w:footer="709" w:gutter="0"/>
      <w:pgNumType w:start="1"/>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MS Sans Serif">
    <w:altName w:val="Microsoft YaHei"/>
    <w:panose1 w:val="00000000000000000000"/>
    <w:charset w:val="00"/>
    <w:family w:val="swiss"/>
    <w:pitch w:val="default"/>
    <w:sig w:usb0="00000000" w:usb1="00000000" w:usb2="00000000" w:usb3="00000000" w:csb0="00040001" w:csb1="00000000"/>
  </w:font>
  <w:font w:name="OpenSymbol">
    <w:altName w:val="Microsoft YaHei"/>
    <w:panose1 w:val="00000000000000000000"/>
    <w:charset w:val="00"/>
    <w:family w:val="auto"/>
    <w:pitch w:val="default"/>
    <w:sig w:usb0="00000000" w:usb1="00000000" w:usb2="00000000" w:usb3="00000000" w:csb0="00040001" w:csb1="00000000"/>
  </w:font>
  <w:font w:name="Segoe UI">
    <w:panose1 w:val="020B0502040204020203"/>
    <w:charset w:val="00"/>
    <w:family w:val="swiss"/>
    <w:pitch w:val="default"/>
    <w:sig w:usb0="E4002EFF" w:usb1="C000E47F" w:usb2="00000009" w:usb3="00000000" w:csb0="200001FF"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Yu Gothic UI"/>
    <w:panose1 w:val="02020609040205080304"/>
    <w:charset w:val="80"/>
    <w:family w:val="modern"/>
    <w:pitch w:val="default"/>
    <w:sig w:usb0="E00002FF" w:usb1="6AC7FDFB" w:usb2="08000012" w:usb3="00000000" w:csb0="0002009F" w:csb1="00000000"/>
  </w:font>
  <w:font w:name="Verdana">
    <w:panose1 w:val="020B0604030504040204"/>
    <w:charset w:val="00"/>
    <w:family w:val="swiss"/>
    <w:pitch w:val="default"/>
    <w:sig w:usb0="A00006FF" w:usb1="4000205B" w:usb2="00000010" w:usb3="00000000" w:csb0="2000019F" w:csb1="00000000"/>
  </w:font>
  <w:font w:name="Swiss911 XCm BT">
    <w:altName w:val="Haettenschweiler"/>
    <w:panose1 w:val="00000000000000000000"/>
    <w:charset w:val="00"/>
    <w:family w:val="swiss"/>
    <w:pitch w:val="default"/>
    <w:sig w:usb0="00000000" w:usb1="00000000" w:usb2="00000000" w:usb3="00000000" w:csb0="00040001" w:csb1="00000000"/>
  </w:font>
  <w:font w:name="Optima">
    <w:altName w:val="Times New Roman"/>
    <w:panose1 w:val="00000000000000000000"/>
    <w:charset w:val="00"/>
    <w:family w:val="auto"/>
    <w:pitch w:val="default"/>
    <w:sig w:usb0="00000000" w:usb1="00000000" w:usb2="00000000" w:usb3="00000000" w:csb0="00040001" w:csb1="00000000"/>
  </w:font>
  <w:font w:name="Century Gothic">
    <w:panose1 w:val="020B0502020202020204"/>
    <w:charset w:val="00"/>
    <w:family w:val="swiss"/>
    <w:pitch w:val="default"/>
    <w:sig w:usb0="00000287" w:usb1="00000000" w:usb2="00000000" w:usb3="00000000" w:csb0="2000009F" w:csb1="DFD70000"/>
  </w:font>
  <w:font w:name="Calibri Light">
    <w:panose1 w:val="020F03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none"/>
      <w:pStyle w:val="2"/>
      <w:suff w:val="nothing"/>
      <w:lvlText w:val=""/>
      <w:lvlJc w:val="left"/>
      <w:pPr>
        <w:tabs>
          <w:tab w:val="left" w:pos="0"/>
        </w:tabs>
        <w:ind w:left="0" w:firstLine="0"/>
      </w:pPr>
    </w:lvl>
    <w:lvl w:ilvl="1" w:tentative="0">
      <w:start w:val="1"/>
      <w:numFmt w:val="none"/>
      <w:pStyle w:val="3"/>
      <w:suff w:val="nothing"/>
      <w:lvlText w:val=""/>
      <w:lvlJc w:val="left"/>
      <w:pPr>
        <w:tabs>
          <w:tab w:val="left" w:pos="0"/>
        </w:tabs>
        <w:ind w:left="0" w:firstLine="0"/>
      </w:pPr>
    </w:lvl>
    <w:lvl w:ilvl="2" w:tentative="0">
      <w:start w:val="1"/>
      <w:numFmt w:val="none"/>
      <w:pStyle w:val="4"/>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pStyle w:val="5"/>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1">
    <w:nsid w:val="00000005"/>
    <w:multiLevelType w:val="singleLevel"/>
    <w:tmpl w:val="00000005"/>
    <w:lvl w:ilvl="0" w:tentative="0">
      <w:start w:val="26"/>
      <w:numFmt w:val="bullet"/>
      <w:lvlText w:val="-"/>
      <w:lvlJc w:val="left"/>
      <w:pPr>
        <w:tabs>
          <w:tab w:val="left" w:pos="0"/>
        </w:tabs>
        <w:ind w:left="1080" w:hanging="360"/>
      </w:pPr>
      <w:rPr>
        <w:rFonts w:hint="default" w:ascii="Calibri" w:hAnsi="Calibri" w:cs="Times New Roman"/>
        <w:sz w:val="28"/>
        <w:szCs w:val="28"/>
        <w:lang/>
      </w:rPr>
    </w:lvl>
  </w:abstractNum>
  <w:abstractNum w:abstractNumId="2">
    <w:nsid w:val="00000006"/>
    <w:multiLevelType w:val="singleLevel"/>
    <w:tmpl w:val="00000006"/>
    <w:lvl w:ilvl="0" w:tentative="0">
      <w:start w:val="1"/>
      <w:numFmt w:val="lowerLetter"/>
      <w:pStyle w:val="296"/>
      <w:lvlText w:val="%1)"/>
      <w:lvlJc w:val="left"/>
      <w:pPr>
        <w:tabs>
          <w:tab w:val="left" w:pos="900"/>
        </w:tabs>
        <w:ind w:left="900" w:hanging="360"/>
      </w:pPr>
      <w:rPr>
        <w:rFonts w:hint="default"/>
      </w:rPr>
    </w:lvl>
  </w:abstractNum>
  <w:abstractNum w:abstractNumId="3">
    <w:nsid w:val="172B0BC7"/>
    <w:multiLevelType w:val="multilevel"/>
    <w:tmpl w:val="172B0BC7"/>
    <w:lvl w:ilvl="0" w:tentative="0">
      <w:start w:val="3"/>
      <w:numFmt w:val="bullet"/>
      <w:lvlText w:val="-"/>
      <w:lvlJc w:val="left"/>
      <w:pPr>
        <w:ind w:left="720" w:hanging="360"/>
      </w:pPr>
      <w:rPr>
        <w:rFonts w:hint="default"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3E574534"/>
    <w:multiLevelType w:val="multilevel"/>
    <w:tmpl w:val="3E574534"/>
    <w:lvl w:ilvl="0" w:tentative="0">
      <w:start w:val="1"/>
      <w:numFmt w:val="lowerLetter"/>
      <w:lvlText w:val="%1)"/>
      <w:lvlJc w:val="left"/>
      <w:pPr>
        <w:ind w:left="720" w:hanging="360"/>
      </w:pPr>
      <w:rPr>
        <w:rFonts w:hint="default"/>
        <w:b w:val="0"/>
        <w:color w:val="000000"/>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embedSystemFonts/>
  <w:bordersDoNotSurroundHeader w:val="0"/>
  <w:bordersDoNotSurroundFooter w:val="0"/>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cumentProtection w:enforcement="0"/>
  <w:defaultTabStop w:val="708"/>
  <w:hyphenationZone w:val="360"/>
  <w:drawingGridHorizontalSpacing w:val="0"/>
  <w:drawingGridVerticalSpacing w:val="0"/>
  <w:displayHorizontalDrawingGridEvery w:val="0"/>
  <w:displayVerticalDrawingGridEvery w:val="0"/>
  <w:doNotUseMarginsForDrawingGridOrigin w:val="1"/>
  <w:drawingGridHorizontalOrigin w:val="0"/>
  <w:drawingGridVerticalOrigin w:val="0"/>
  <w:characterSpacingControl w:val="doNotCompress"/>
  <w:footnotePr>
    <w:footnote w:id="0"/>
    <w:footnote w:id="1"/>
  </w:footnotePr>
  <w:endnotePr>
    <w:endnote w:id="0"/>
    <w:endnote w:id="1"/>
  </w:endnotePr>
  <w:compa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29ED"/>
    <w:rsid w:val="00015222"/>
    <w:rsid w:val="00016CE9"/>
    <w:rsid w:val="00046C0E"/>
    <w:rsid w:val="00051C65"/>
    <w:rsid w:val="000603E5"/>
    <w:rsid w:val="00061B50"/>
    <w:rsid w:val="00065132"/>
    <w:rsid w:val="00077DA7"/>
    <w:rsid w:val="000A6B7C"/>
    <w:rsid w:val="000B3B08"/>
    <w:rsid w:val="000C3737"/>
    <w:rsid w:val="000C490A"/>
    <w:rsid w:val="000D14D9"/>
    <w:rsid w:val="000D3836"/>
    <w:rsid w:val="000E6BC0"/>
    <w:rsid w:val="00100475"/>
    <w:rsid w:val="001174FB"/>
    <w:rsid w:val="00117BAD"/>
    <w:rsid w:val="001271DA"/>
    <w:rsid w:val="00135228"/>
    <w:rsid w:val="0013731D"/>
    <w:rsid w:val="00141F3F"/>
    <w:rsid w:val="001433C0"/>
    <w:rsid w:val="00145560"/>
    <w:rsid w:val="00162A00"/>
    <w:rsid w:val="001C2A02"/>
    <w:rsid w:val="001D0176"/>
    <w:rsid w:val="001D3094"/>
    <w:rsid w:val="001D4D11"/>
    <w:rsid w:val="001D5236"/>
    <w:rsid w:val="00204D2A"/>
    <w:rsid w:val="00207815"/>
    <w:rsid w:val="002104ED"/>
    <w:rsid w:val="00215EF9"/>
    <w:rsid w:val="00230FBF"/>
    <w:rsid w:val="0023122A"/>
    <w:rsid w:val="00273383"/>
    <w:rsid w:val="0027624A"/>
    <w:rsid w:val="0029507E"/>
    <w:rsid w:val="002B3A16"/>
    <w:rsid w:val="002D5CFD"/>
    <w:rsid w:val="002E14A1"/>
    <w:rsid w:val="002E7758"/>
    <w:rsid w:val="002F4426"/>
    <w:rsid w:val="003064A6"/>
    <w:rsid w:val="00323E37"/>
    <w:rsid w:val="003250EB"/>
    <w:rsid w:val="003351F5"/>
    <w:rsid w:val="0036646D"/>
    <w:rsid w:val="003667B6"/>
    <w:rsid w:val="0037770B"/>
    <w:rsid w:val="00377BA6"/>
    <w:rsid w:val="00377DC9"/>
    <w:rsid w:val="003822B6"/>
    <w:rsid w:val="0038240D"/>
    <w:rsid w:val="003827FB"/>
    <w:rsid w:val="00392B28"/>
    <w:rsid w:val="003A0978"/>
    <w:rsid w:val="003E3589"/>
    <w:rsid w:val="003E6AB9"/>
    <w:rsid w:val="0040508D"/>
    <w:rsid w:val="00415F1B"/>
    <w:rsid w:val="004332EA"/>
    <w:rsid w:val="00440C87"/>
    <w:rsid w:val="00441307"/>
    <w:rsid w:val="00451B00"/>
    <w:rsid w:val="00454433"/>
    <w:rsid w:val="004545E2"/>
    <w:rsid w:val="00463B01"/>
    <w:rsid w:val="0047321D"/>
    <w:rsid w:val="00496D5A"/>
    <w:rsid w:val="00497159"/>
    <w:rsid w:val="004A20F0"/>
    <w:rsid w:val="004D1C15"/>
    <w:rsid w:val="004D53AC"/>
    <w:rsid w:val="004E07D3"/>
    <w:rsid w:val="004E3602"/>
    <w:rsid w:val="004E3E08"/>
    <w:rsid w:val="00512069"/>
    <w:rsid w:val="0052287A"/>
    <w:rsid w:val="00546824"/>
    <w:rsid w:val="005550E1"/>
    <w:rsid w:val="00571CE3"/>
    <w:rsid w:val="00573823"/>
    <w:rsid w:val="005740E0"/>
    <w:rsid w:val="00585163"/>
    <w:rsid w:val="005860E7"/>
    <w:rsid w:val="0059590F"/>
    <w:rsid w:val="005B2CB3"/>
    <w:rsid w:val="005C0A98"/>
    <w:rsid w:val="005D035B"/>
    <w:rsid w:val="005E63B1"/>
    <w:rsid w:val="00616856"/>
    <w:rsid w:val="006306ED"/>
    <w:rsid w:val="00657B68"/>
    <w:rsid w:val="00666915"/>
    <w:rsid w:val="00694905"/>
    <w:rsid w:val="006B2704"/>
    <w:rsid w:val="006B354B"/>
    <w:rsid w:val="006C3A77"/>
    <w:rsid w:val="006C7FDD"/>
    <w:rsid w:val="006D542E"/>
    <w:rsid w:val="006E2D24"/>
    <w:rsid w:val="00707F72"/>
    <w:rsid w:val="00720605"/>
    <w:rsid w:val="007229C3"/>
    <w:rsid w:val="007358C5"/>
    <w:rsid w:val="007448F6"/>
    <w:rsid w:val="00744A34"/>
    <w:rsid w:val="00755CBF"/>
    <w:rsid w:val="00771098"/>
    <w:rsid w:val="00784049"/>
    <w:rsid w:val="00794AA2"/>
    <w:rsid w:val="00797554"/>
    <w:rsid w:val="007F7A30"/>
    <w:rsid w:val="008005C3"/>
    <w:rsid w:val="00801A45"/>
    <w:rsid w:val="008071D4"/>
    <w:rsid w:val="00816FAD"/>
    <w:rsid w:val="00854C14"/>
    <w:rsid w:val="008569EF"/>
    <w:rsid w:val="008574AC"/>
    <w:rsid w:val="0086373D"/>
    <w:rsid w:val="008655D1"/>
    <w:rsid w:val="00874139"/>
    <w:rsid w:val="00883A6B"/>
    <w:rsid w:val="008942DE"/>
    <w:rsid w:val="00895790"/>
    <w:rsid w:val="00896827"/>
    <w:rsid w:val="008A25A2"/>
    <w:rsid w:val="008A2EB2"/>
    <w:rsid w:val="008A6EAC"/>
    <w:rsid w:val="008A7D62"/>
    <w:rsid w:val="008B47AE"/>
    <w:rsid w:val="008F34CA"/>
    <w:rsid w:val="008F3E1E"/>
    <w:rsid w:val="009020B1"/>
    <w:rsid w:val="00903700"/>
    <w:rsid w:val="009046B6"/>
    <w:rsid w:val="00921999"/>
    <w:rsid w:val="00926D83"/>
    <w:rsid w:val="00940320"/>
    <w:rsid w:val="00950683"/>
    <w:rsid w:val="00951CA1"/>
    <w:rsid w:val="00962B32"/>
    <w:rsid w:val="0096669A"/>
    <w:rsid w:val="009748BD"/>
    <w:rsid w:val="00992769"/>
    <w:rsid w:val="009A313D"/>
    <w:rsid w:val="009E0C34"/>
    <w:rsid w:val="009E49FE"/>
    <w:rsid w:val="00A04E44"/>
    <w:rsid w:val="00A10CF7"/>
    <w:rsid w:val="00A219B2"/>
    <w:rsid w:val="00A231CA"/>
    <w:rsid w:val="00A3482F"/>
    <w:rsid w:val="00A351DA"/>
    <w:rsid w:val="00A53261"/>
    <w:rsid w:val="00A56473"/>
    <w:rsid w:val="00A570C5"/>
    <w:rsid w:val="00A81FAE"/>
    <w:rsid w:val="00A83424"/>
    <w:rsid w:val="00AA28C2"/>
    <w:rsid w:val="00AA4E7C"/>
    <w:rsid w:val="00AB10CC"/>
    <w:rsid w:val="00AB1DF8"/>
    <w:rsid w:val="00AB24E7"/>
    <w:rsid w:val="00AC3FF8"/>
    <w:rsid w:val="00AD2063"/>
    <w:rsid w:val="00AD3889"/>
    <w:rsid w:val="00AD761D"/>
    <w:rsid w:val="00AE0504"/>
    <w:rsid w:val="00AE1929"/>
    <w:rsid w:val="00AE1B5E"/>
    <w:rsid w:val="00B23B1F"/>
    <w:rsid w:val="00B32333"/>
    <w:rsid w:val="00B5059B"/>
    <w:rsid w:val="00B5149C"/>
    <w:rsid w:val="00B755BC"/>
    <w:rsid w:val="00BA5D90"/>
    <w:rsid w:val="00BB148E"/>
    <w:rsid w:val="00BB761D"/>
    <w:rsid w:val="00BC120A"/>
    <w:rsid w:val="00BC6CC0"/>
    <w:rsid w:val="00BD2D6E"/>
    <w:rsid w:val="00BE1831"/>
    <w:rsid w:val="00C30BFE"/>
    <w:rsid w:val="00C33541"/>
    <w:rsid w:val="00C46B91"/>
    <w:rsid w:val="00C537D6"/>
    <w:rsid w:val="00C62093"/>
    <w:rsid w:val="00C62E36"/>
    <w:rsid w:val="00C63EAD"/>
    <w:rsid w:val="00C6477B"/>
    <w:rsid w:val="00C67718"/>
    <w:rsid w:val="00C77105"/>
    <w:rsid w:val="00C77873"/>
    <w:rsid w:val="00C838E3"/>
    <w:rsid w:val="00CA2343"/>
    <w:rsid w:val="00CB346F"/>
    <w:rsid w:val="00CB4D24"/>
    <w:rsid w:val="00CC1E67"/>
    <w:rsid w:val="00CD5683"/>
    <w:rsid w:val="00CD7506"/>
    <w:rsid w:val="00CE4DE5"/>
    <w:rsid w:val="00CF0D45"/>
    <w:rsid w:val="00D13A0D"/>
    <w:rsid w:val="00D17E0F"/>
    <w:rsid w:val="00D27DD2"/>
    <w:rsid w:val="00D374FC"/>
    <w:rsid w:val="00D42D13"/>
    <w:rsid w:val="00D5013E"/>
    <w:rsid w:val="00D53647"/>
    <w:rsid w:val="00D55DAE"/>
    <w:rsid w:val="00D60DD2"/>
    <w:rsid w:val="00D77C5B"/>
    <w:rsid w:val="00DA026B"/>
    <w:rsid w:val="00DA3A92"/>
    <w:rsid w:val="00DC5D97"/>
    <w:rsid w:val="00DF29ED"/>
    <w:rsid w:val="00E01A72"/>
    <w:rsid w:val="00E06FBF"/>
    <w:rsid w:val="00E10A79"/>
    <w:rsid w:val="00E40B80"/>
    <w:rsid w:val="00E5501B"/>
    <w:rsid w:val="00E56184"/>
    <w:rsid w:val="00E56223"/>
    <w:rsid w:val="00E56CD1"/>
    <w:rsid w:val="00E60E64"/>
    <w:rsid w:val="00E61BA3"/>
    <w:rsid w:val="00E61CBA"/>
    <w:rsid w:val="00E67357"/>
    <w:rsid w:val="00E75C87"/>
    <w:rsid w:val="00E77AF5"/>
    <w:rsid w:val="00E81F72"/>
    <w:rsid w:val="00EA257E"/>
    <w:rsid w:val="00EF045D"/>
    <w:rsid w:val="00F115C6"/>
    <w:rsid w:val="00F13423"/>
    <w:rsid w:val="00F3686D"/>
    <w:rsid w:val="00F54804"/>
    <w:rsid w:val="00F77C0F"/>
    <w:rsid w:val="00F835F8"/>
    <w:rsid w:val="00F94BD0"/>
    <w:rsid w:val="00FA5530"/>
    <w:rsid w:val="00FB6A47"/>
    <w:rsid w:val="00FB7730"/>
    <w:rsid w:val="00FC7D83"/>
    <w:rsid w:val="00FD009A"/>
    <w:rsid w:val="00FD4301"/>
    <w:rsid w:val="00FF6DD0"/>
    <w:rsid w:val="71256C90"/>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nhideWhenUsed="0" w:uiPriority="0"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iPriority="99"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unhideWhenUsed="0" w:uiPriority="0" w:semiHidden="0"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unhideWhenUsed="0" w:uiPriority="0" w:semiHidden="0" w:name="Body Text 3"/>
    <w:lsdException w:unhideWhenUsed="0" w:uiPriority="0" w:semiHidden="0" w:name="Body Text Indent 2"/>
    <w:lsdException w:uiPriority="99" w:name="Body Text Indent 3"/>
    <w:lsdException w:uiPriority="99"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nhideWhenUsed="0" w:uiPriority="0" w:semiHidden="0" w:name="HTML Preformatted"/>
    <w:lsdException w:uiPriority="99" w:name="HTML Sample"/>
    <w:lsdException w:uiPriority="99" w:name="HTML Typewriter"/>
    <w:lsdException w:uiPriority="99" w:name="HTML Variable"/>
    <w:lsdException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semiHidden="0" w:name="Balloon Text"/>
    <w:lsdException w:unhideWhenUsed="0" w:uiPriority="39" w:semiHidden="0" w:name="Table Grid"/>
    <w:lsdException w:uiPriority="99" w:name="Table Theme"/>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qFormat="1" w:unhideWhenUsed="0" w:uiPriority="0" w:semiHidden="0" w:name="List Paragraph"/>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atentStyles>
  <w:style w:type="paragraph" w:default="1" w:styleId="1">
    <w:name w:val="Normal"/>
    <w:qFormat/>
    <w:uiPriority w:val="0"/>
    <w:pPr>
      <w:suppressAutoHyphens/>
      <w:spacing w:line="280" w:lineRule="exact"/>
    </w:pPr>
    <w:rPr>
      <w:rFonts w:ascii="Arial" w:hAnsi="Arial" w:eastAsia="Calibri" w:cs="Arial"/>
      <w:lang w:val="ro-RO" w:eastAsia="zh-CN" w:bidi="ar-SA"/>
    </w:rPr>
  </w:style>
  <w:style w:type="paragraph" w:styleId="2">
    <w:name w:val="heading 1"/>
    <w:basedOn w:val="1"/>
    <w:next w:val="1"/>
    <w:qFormat/>
    <w:uiPriority w:val="0"/>
    <w:pPr>
      <w:keepNext/>
      <w:numPr>
        <w:ilvl w:val="0"/>
        <w:numId w:val="1"/>
      </w:numPr>
      <w:spacing w:line="240" w:lineRule="auto"/>
      <w:jc w:val="center"/>
      <w:outlineLvl w:val="0"/>
    </w:pPr>
    <w:rPr>
      <w:rFonts w:ascii="Times New Roman" w:hAnsi="Times New Roman" w:eastAsia="Times New Roman" w:cs="Times New Roman"/>
      <w:b/>
      <w:bCs/>
      <w:sz w:val="24"/>
      <w:szCs w:val="24"/>
      <w:lang w:val="fr-FR"/>
    </w:rPr>
  </w:style>
  <w:style w:type="paragraph" w:styleId="3">
    <w:name w:val="heading 2"/>
    <w:basedOn w:val="1"/>
    <w:next w:val="1"/>
    <w:qFormat/>
    <w:uiPriority w:val="0"/>
    <w:pPr>
      <w:keepNext/>
      <w:numPr>
        <w:ilvl w:val="1"/>
        <w:numId w:val="1"/>
      </w:numPr>
      <w:spacing w:line="240" w:lineRule="auto"/>
      <w:jc w:val="both"/>
      <w:outlineLvl w:val="1"/>
    </w:pPr>
    <w:rPr>
      <w:rFonts w:ascii="Times New Roman" w:hAnsi="Times New Roman" w:eastAsia="Times New Roman" w:cs="Times New Roman"/>
      <w:b/>
      <w:bCs/>
      <w:sz w:val="22"/>
      <w:szCs w:val="24"/>
    </w:rPr>
  </w:style>
  <w:style w:type="paragraph" w:styleId="4">
    <w:name w:val="heading 3"/>
    <w:basedOn w:val="1"/>
    <w:next w:val="1"/>
    <w:qFormat/>
    <w:uiPriority w:val="0"/>
    <w:pPr>
      <w:keepNext/>
      <w:numPr>
        <w:ilvl w:val="2"/>
        <w:numId w:val="1"/>
      </w:numPr>
      <w:spacing w:before="240" w:after="60" w:line="240" w:lineRule="auto"/>
      <w:outlineLvl w:val="2"/>
    </w:pPr>
    <w:rPr>
      <w:rFonts w:eastAsia="Times New Roman" w:cs="Times New Roman"/>
      <w:b/>
      <w:bCs/>
      <w:sz w:val="26"/>
      <w:szCs w:val="26"/>
    </w:rPr>
  </w:style>
  <w:style w:type="paragraph" w:styleId="5">
    <w:name w:val="heading 7"/>
    <w:basedOn w:val="1"/>
    <w:next w:val="1"/>
    <w:qFormat/>
    <w:uiPriority w:val="0"/>
    <w:pPr>
      <w:numPr>
        <w:ilvl w:val="6"/>
        <w:numId w:val="1"/>
      </w:numPr>
      <w:spacing w:before="240" w:after="60" w:line="240" w:lineRule="auto"/>
      <w:outlineLvl w:val="6"/>
    </w:pPr>
    <w:rPr>
      <w:rFonts w:ascii="Times New Roman" w:hAnsi="Times New Roman" w:eastAsia="Times New Roman" w:cs="Times New Roman"/>
      <w:sz w:val="24"/>
      <w:szCs w:val="24"/>
    </w:rPr>
  </w:style>
  <w:style w:type="character" w:default="1" w:styleId="6">
    <w:name w:val="Default Paragraph Font"/>
    <w:unhideWhenUsed/>
    <w:uiPriority w:val="1"/>
  </w:style>
  <w:style w:type="table" w:default="1" w:styleId="7">
    <w:name w:val="Normal Table"/>
    <w:semiHidden/>
    <w:unhideWhenUsed/>
    <w:uiPriority w:val="99"/>
    <w:tblPr>
      <w:tblStyle w:val="7"/>
      <w:tblCellMar>
        <w:top w:w="0" w:type="dxa"/>
        <w:left w:w="108" w:type="dxa"/>
        <w:bottom w:w="0" w:type="dxa"/>
        <w:right w:w="108" w:type="dxa"/>
      </w:tblCellMar>
    </w:tblPr>
    <w:trPr>
      <w:wBefore w:w="0" w:type="dxa"/>
    </w:trPr>
  </w:style>
  <w:style w:type="paragraph" w:styleId="8">
    <w:name w:val="Balloon Text"/>
    <w:basedOn w:val="1"/>
    <w:uiPriority w:val="0"/>
    <w:pPr>
      <w:spacing w:line="240" w:lineRule="auto"/>
    </w:pPr>
    <w:rPr>
      <w:rFonts w:ascii="Tahoma" w:hAnsi="Tahoma" w:cs="Times New Roman"/>
      <w:sz w:val="16"/>
      <w:szCs w:val="16"/>
    </w:rPr>
  </w:style>
  <w:style w:type="paragraph" w:styleId="9">
    <w:name w:val="Body Text"/>
    <w:basedOn w:val="1"/>
    <w:uiPriority w:val="0"/>
    <w:pPr>
      <w:spacing w:before="0" w:after="120" w:line="240" w:lineRule="auto"/>
    </w:pPr>
    <w:rPr>
      <w:rFonts w:ascii="Times New Roman" w:hAnsi="Times New Roman" w:eastAsia="Times New Roman" w:cs="Times New Roman"/>
      <w:sz w:val="24"/>
      <w:szCs w:val="24"/>
    </w:rPr>
  </w:style>
  <w:style w:type="paragraph" w:styleId="10">
    <w:name w:val="Body Text 2"/>
    <w:basedOn w:val="1"/>
    <w:uiPriority w:val="0"/>
    <w:pPr>
      <w:spacing w:before="0" w:after="120" w:line="480" w:lineRule="auto"/>
    </w:pPr>
    <w:rPr>
      <w:rFonts w:ascii="Times New Roman" w:hAnsi="Times New Roman" w:eastAsia="Times New Roman" w:cs="Times New Roman"/>
      <w:sz w:val="24"/>
      <w:szCs w:val="24"/>
    </w:rPr>
  </w:style>
  <w:style w:type="paragraph" w:styleId="11">
    <w:name w:val="Body Text 3"/>
    <w:basedOn w:val="1"/>
    <w:uiPriority w:val="0"/>
    <w:pPr>
      <w:spacing w:line="240" w:lineRule="auto"/>
      <w:jc w:val="center"/>
    </w:pPr>
    <w:rPr>
      <w:rFonts w:ascii="Times New Roman" w:hAnsi="Times New Roman" w:eastAsia="Times New Roman" w:cs="Times New Roman"/>
      <w:b/>
      <w:sz w:val="24"/>
      <w:szCs w:val="24"/>
    </w:rPr>
  </w:style>
  <w:style w:type="paragraph" w:styleId="12">
    <w:name w:val="Body Text Indent"/>
    <w:basedOn w:val="1"/>
    <w:uiPriority w:val="0"/>
    <w:pPr>
      <w:spacing w:line="240" w:lineRule="auto"/>
      <w:ind w:left="-90" w:right="0" w:firstLine="90"/>
      <w:jc w:val="both"/>
    </w:pPr>
    <w:rPr>
      <w:rFonts w:eastAsia="Times New Roman" w:cs="Times New Roman"/>
      <w:sz w:val="28"/>
      <w:szCs w:val="28"/>
    </w:rPr>
  </w:style>
  <w:style w:type="paragraph" w:styleId="13">
    <w:name w:val="Body Text Indent 2"/>
    <w:basedOn w:val="1"/>
    <w:uiPriority w:val="0"/>
    <w:pPr>
      <w:spacing w:before="0" w:after="120" w:line="480" w:lineRule="auto"/>
      <w:ind w:left="283" w:right="0" w:firstLine="0"/>
    </w:pPr>
    <w:rPr>
      <w:rFonts w:ascii="Times New Roman" w:hAnsi="Times New Roman" w:eastAsia="Times New Roman" w:cs="Times New Roman"/>
      <w:sz w:val="24"/>
      <w:szCs w:val="24"/>
    </w:rPr>
  </w:style>
  <w:style w:type="paragraph" w:styleId="14">
    <w:name w:val="caption"/>
    <w:basedOn w:val="1"/>
    <w:qFormat/>
    <w:uiPriority w:val="0"/>
    <w:pPr>
      <w:suppressLineNumbers/>
      <w:spacing w:before="120" w:after="120"/>
    </w:pPr>
    <w:rPr>
      <w:rFonts w:cs="Arial"/>
      <w:i/>
      <w:iCs/>
      <w:sz w:val="24"/>
      <w:szCs w:val="24"/>
    </w:rPr>
  </w:style>
  <w:style w:type="character" w:styleId="15">
    <w:name w:val="annotation reference"/>
    <w:uiPriority w:val="0"/>
    <w:rPr>
      <w:sz w:val="16"/>
      <w:szCs w:val="16"/>
    </w:rPr>
  </w:style>
  <w:style w:type="paragraph" w:styleId="16">
    <w:name w:val="annotation text"/>
    <w:basedOn w:val="1"/>
    <w:uiPriority w:val="0"/>
    <w:pPr>
      <w:spacing w:before="0" w:after="160" w:line="252" w:lineRule="auto"/>
    </w:pPr>
    <w:rPr>
      <w:rFonts w:ascii="Calibri" w:hAnsi="Calibri" w:cs="Times New Roman"/>
    </w:rPr>
  </w:style>
  <w:style w:type="paragraph" w:styleId="17">
    <w:name w:val="annotation subject"/>
    <w:basedOn w:val="16"/>
    <w:next w:val="16"/>
    <w:uiPriority w:val="0"/>
    <w:rPr>
      <w:b/>
      <w:bCs/>
    </w:rPr>
  </w:style>
  <w:style w:type="paragraph" w:styleId="18">
    <w:name w:val="Document Map"/>
    <w:basedOn w:val="1"/>
    <w:uiPriority w:val="0"/>
    <w:pPr>
      <w:shd w:val="clear" w:color="auto" w:fill="000080"/>
      <w:spacing w:line="240" w:lineRule="auto"/>
    </w:pPr>
    <w:rPr>
      <w:rFonts w:ascii="Tahoma" w:hAnsi="Tahoma" w:eastAsia="Times New Roman" w:cs="Times New Roman"/>
    </w:rPr>
  </w:style>
  <w:style w:type="character" w:styleId="19">
    <w:name w:val="FollowedHyperlink"/>
    <w:uiPriority w:val="0"/>
    <w:rPr>
      <w:color w:val="800080"/>
      <w:u w:val="single"/>
    </w:rPr>
  </w:style>
  <w:style w:type="paragraph" w:styleId="20">
    <w:name w:val="footer"/>
    <w:basedOn w:val="1"/>
    <w:uiPriority w:val="0"/>
    <w:pPr>
      <w:tabs>
        <w:tab w:val="center" w:pos="4536"/>
        <w:tab w:val="right" w:pos="9072"/>
      </w:tabs>
      <w:spacing w:line="240" w:lineRule="auto"/>
    </w:pPr>
  </w:style>
  <w:style w:type="paragraph" w:styleId="21">
    <w:name w:val="footnote text"/>
    <w:basedOn w:val="1"/>
    <w:uiPriority w:val="0"/>
    <w:pPr>
      <w:spacing w:line="240" w:lineRule="auto"/>
    </w:pPr>
    <w:rPr>
      <w:rFonts w:ascii="Times New Roman" w:hAnsi="Times New Roman" w:eastAsia="Times New Roman" w:cs="Times New Roman"/>
    </w:rPr>
  </w:style>
  <w:style w:type="paragraph" w:styleId="22">
    <w:name w:val="header"/>
    <w:basedOn w:val="1"/>
    <w:uiPriority w:val="0"/>
    <w:pPr>
      <w:tabs>
        <w:tab w:val="center" w:pos="4536"/>
        <w:tab w:val="right" w:pos="9072"/>
      </w:tabs>
      <w:spacing w:line="240" w:lineRule="auto"/>
    </w:pPr>
  </w:style>
  <w:style w:type="paragraph" w:styleId="23">
    <w:name w:val="HTML Preformatted"/>
    <w:basedOn w:val="1"/>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hAnsi="Courier New" w:eastAsia="Courier New" w:cs="Times New Roman"/>
    </w:rPr>
  </w:style>
  <w:style w:type="character" w:styleId="24">
    <w:name w:val="Hyperlink"/>
    <w:uiPriority w:val="0"/>
    <w:rPr>
      <w:color w:val="0000FF"/>
      <w:u w:val="single"/>
    </w:rPr>
  </w:style>
  <w:style w:type="paragraph" w:styleId="25">
    <w:name w:val="List"/>
    <w:basedOn w:val="9"/>
    <w:uiPriority w:val="0"/>
    <w:pPr>
      <w:suppressAutoHyphens/>
      <w:overflowPunct w:val="0"/>
      <w:autoSpaceDE w:val="0"/>
      <w:spacing w:before="0" w:after="0"/>
      <w:jc w:val="center"/>
      <w:textAlignment w:val="baseline"/>
    </w:pPr>
    <w:rPr>
      <w:rFonts w:cs="Tahoma"/>
      <w:b/>
      <w:bCs/>
      <w:kern w:val="2"/>
      <w:sz w:val="28"/>
      <w:szCs w:val="20"/>
    </w:rPr>
  </w:style>
  <w:style w:type="paragraph" w:styleId="26">
    <w:name w:val="Normal (Web)"/>
    <w:basedOn w:val="1"/>
    <w:uiPriority w:val="0"/>
    <w:pPr>
      <w:spacing w:before="280" w:after="280" w:line="240" w:lineRule="auto"/>
    </w:pPr>
    <w:rPr>
      <w:rFonts w:ascii="Arial Unicode MS" w:hAnsi="Arial Unicode MS" w:eastAsia="Arial Unicode MS" w:cs="Arial Unicode MS"/>
      <w:sz w:val="24"/>
      <w:szCs w:val="24"/>
      <w:lang w:val="en-US"/>
    </w:rPr>
  </w:style>
  <w:style w:type="character" w:styleId="27">
    <w:name w:val="page number"/>
    <w:uiPriority w:val="0"/>
  </w:style>
  <w:style w:type="character" w:styleId="28">
    <w:name w:val="Strong"/>
    <w:qFormat/>
    <w:uiPriority w:val="0"/>
    <w:rPr>
      <w:b/>
      <w:bCs/>
    </w:rPr>
  </w:style>
  <w:style w:type="paragraph" w:styleId="29">
    <w:name w:val="Subtitle"/>
    <w:basedOn w:val="1"/>
    <w:next w:val="9"/>
    <w:qFormat/>
    <w:uiPriority w:val="0"/>
    <w:pPr>
      <w:suppressAutoHyphens/>
      <w:spacing w:line="240" w:lineRule="auto"/>
      <w:jc w:val="center"/>
    </w:pPr>
    <w:rPr>
      <w:rFonts w:eastAsia="Times New Roman" w:cs="Times New Roman"/>
      <w:b/>
      <w:sz w:val="24"/>
    </w:rPr>
  </w:style>
  <w:style w:type="table" w:styleId="30">
    <w:name w:val="Table Grid"/>
    <w:basedOn w:val="7"/>
    <w:uiPriority w:val="39"/>
    <w:tblPr>
      <w:tblStyle w:val="7"/>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1">
    <w:name w:val="toc 1"/>
    <w:basedOn w:val="1"/>
    <w:next w:val="1"/>
    <w:uiPriority w:val="0"/>
    <w:pPr>
      <w:tabs>
        <w:tab w:val="left" w:pos="720"/>
        <w:tab w:val="right" w:leader="dot" w:pos="10206"/>
      </w:tabs>
      <w:spacing w:line="240" w:lineRule="auto"/>
      <w:ind w:left="142" w:right="0" w:firstLine="0"/>
    </w:pPr>
    <w:rPr>
      <w:rFonts w:ascii="Times New Roman" w:hAnsi="Times New Roman" w:eastAsia="Times New Roman" w:cs="Times New Roman"/>
      <w:sz w:val="24"/>
      <w:szCs w:val="24"/>
      <w:lang w:val="en-US"/>
    </w:rPr>
  </w:style>
  <w:style w:type="paragraph" w:styleId="32">
    <w:name w:val="toc 2"/>
    <w:basedOn w:val="1"/>
    <w:next w:val="1"/>
    <w:uiPriority w:val="0"/>
    <w:pPr>
      <w:spacing w:line="240" w:lineRule="auto"/>
      <w:ind w:left="240" w:right="0" w:firstLine="0"/>
    </w:pPr>
    <w:rPr>
      <w:rFonts w:ascii="Times New Roman" w:hAnsi="Times New Roman" w:eastAsia="Times New Roman" w:cs="Times New Roman"/>
      <w:sz w:val="24"/>
      <w:szCs w:val="24"/>
      <w:lang w:val="en-US"/>
    </w:rPr>
  </w:style>
  <w:style w:type="paragraph" w:styleId="33">
    <w:name w:val="toc 3"/>
    <w:basedOn w:val="1"/>
    <w:next w:val="1"/>
    <w:uiPriority w:val="0"/>
    <w:pPr>
      <w:spacing w:line="240" w:lineRule="auto"/>
      <w:ind w:left="480" w:right="0" w:firstLine="0"/>
    </w:pPr>
    <w:rPr>
      <w:rFonts w:ascii="Times New Roman" w:hAnsi="Times New Roman" w:eastAsia="Times New Roman" w:cs="Times New Roman"/>
      <w:sz w:val="24"/>
      <w:szCs w:val="24"/>
      <w:lang w:val="en-US"/>
    </w:rPr>
  </w:style>
  <w:style w:type="paragraph" w:styleId="34">
    <w:name w:val="toc 4"/>
    <w:basedOn w:val="1"/>
    <w:next w:val="1"/>
    <w:uiPriority w:val="0"/>
    <w:pPr>
      <w:spacing w:line="240" w:lineRule="auto"/>
      <w:ind w:left="720" w:right="0" w:firstLine="0"/>
    </w:pPr>
    <w:rPr>
      <w:rFonts w:ascii="Times New Roman" w:hAnsi="Times New Roman" w:eastAsia="Times New Roman" w:cs="Times New Roman"/>
      <w:sz w:val="24"/>
      <w:szCs w:val="24"/>
      <w:lang w:val="en-US"/>
    </w:rPr>
  </w:style>
  <w:style w:type="paragraph" w:styleId="35">
    <w:name w:val="toc 5"/>
    <w:basedOn w:val="1"/>
    <w:next w:val="1"/>
    <w:uiPriority w:val="0"/>
    <w:pPr>
      <w:spacing w:line="240" w:lineRule="auto"/>
      <w:ind w:left="960" w:right="0" w:firstLine="0"/>
    </w:pPr>
    <w:rPr>
      <w:rFonts w:ascii="Times New Roman" w:hAnsi="Times New Roman" w:eastAsia="Times New Roman" w:cs="Times New Roman"/>
      <w:sz w:val="24"/>
      <w:szCs w:val="24"/>
      <w:lang w:val="en-US"/>
    </w:rPr>
  </w:style>
  <w:style w:type="paragraph" w:styleId="36">
    <w:name w:val="toc 6"/>
    <w:basedOn w:val="1"/>
    <w:next w:val="1"/>
    <w:uiPriority w:val="0"/>
    <w:pPr>
      <w:spacing w:line="240" w:lineRule="auto"/>
      <w:ind w:left="1200" w:right="0" w:firstLine="0"/>
    </w:pPr>
    <w:rPr>
      <w:rFonts w:ascii="Times New Roman" w:hAnsi="Times New Roman" w:eastAsia="Times New Roman" w:cs="Times New Roman"/>
      <w:sz w:val="24"/>
      <w:szCs w:val="24"/>
      <w:lang w:val="en-US"/>
    </w:rPr>
  </w:style>
  <w:style w:type="paragraph" w:styleId="37">
    <w:name w:val="toc 7"/>
    <w:basedOn w:val="1"/>
    <w:next w:val="1"/>
    <w:uiPriority w:val="0"/>
    <w:pPr>
      <w:spacing w:line="240" w:lineRule="auto"/>
      <w:ind w:left="1440" w:right="0" w:firstLine="0"/>
    </w:pPr>
    <w:rPr>
      <w:rFonts w:ascii="Times New Roman" w:hAnsi="Times New Roman" w:eastAsia="Times New Roman" w:cs="Times New Roman"/>
      <w:sz w:val="24"/>
      <w:szCs w:val="24"/>
      <w:lang w:val="en-US"/>
    </w:rPr>
  </w:style>
  <w:style w:type="paragraph" w:styleId="38">
    <w:name w:val="toc 8"/>
    <w:basedOn w:val="1"/>
    <w:next w:val="1"/>
    <w:uiPriority w:val="0"/>
    <w:pPr>
      <w:spacing w:line="240" w:lineRule="auto"/>
      <w:ind w:left="1680" w:right="0" w:firstLine="0"/>
    </w:pPr>
    <w:rPr>
      <w:rFonts w:ascii="Times New Roman" w:hAnsi="Times New Roman" w:eastAsia="Times New Roman" w:cs="Times New Roman"/>
      <w:sz w:val="24"/>
      <w:szCs w:val="24"/>
      <w:lang w:val="en-US"/>
    </w:rPr>
  </w:style>
  <w:style w:type="paragraph" w:styleId="39">
    <w:name w:val="toc 9"/>
    <w:basedOn w:val="1"/>
    <w:next w:val="1"/>
    <w:uiPriority w:val="0"/>
    <w:pPr>
      <w:spacing w:line="240" w:lineRule="auto"/>
      <w:ind w:left="1920" w:right="0" w:firstLine="0"/>
    </w:pPr>
    <w:rPr>
      <w:rFonts w:ascii="Times New Roman" w:hAnsi="Times New Roman" w:eastAsia="Times New Roman" w:cs="Times New Roman"/>
      <w:sz w:val="24"/>
      <w:szCs w:val="24"/>
      <w:lang w:val="en-US"/>
    </w:rPr>
  </w:style>
  <w:style w:type="character" w:customStyle="1" w:styleId="40">
    <w:name w:val="WW8Num1z0"/>
    <w:uiPriority w:val="0"/>
  </w:style>
  <w:style w:type="character" w:customStyle="1" w:styleId="41">
    <w:name w:val="WW8Num1z1"/>
    <w:uiPriority w:val="0"/>
  </w:style>
  <w:style w:type="character" w:customStyle="1" w:styleId="42">
    <w:name w:val="WW8Num1z2"/>
    <w:uiPriority w:val="0"/>
  </w:style>
  <w:style w:type="character" w:customStyle="1" w:styleId="43">
    <w:name w:val="WW8Num1z3"/>
    <w:uiPriority w:val="0"/>
  </w:style>
  <w:style w:type="character" w:customStyle="1" w:styleId="44">
    <w:name w:val="WW8Num1z4"/>
    <w:uiPriority w:val="0"/>
  </w:style>
  <w:style w:type="character" w:customStyle="1" w:styleId="45">
    <w:name w:val="WW8Num1z5"/>
    <w:uiPriority w:val="0"/>
  </w:style>
  <w:style w:type="character" w:customStyle="1" w:styleId="46">
    <w:name w:val="WW8Num1z6"/>
    <w:uiPriority w:val="0"/>
  </w:style>
  <w:style w:type="character" w:customStyle="1" w:styleId="47">
    <w:name w:val="WW8Num1z7"/>
    <w:uiPriority w:val="0"/>
  </w:style>
  <w:style w:type="character" w:customStyle="1" w:styleId="48">
    <w:name w:val="WW8Num1z8"/>
    <w:uiPriority w:val="0"/>
  </w:style>
  <w:style w:type="character" w:customStyle="1" w:styleId="49">
    <w:name w:val="WW8Num2z0"/>
    <w:uiPriority w:val="0"/>
    <w:rPr>
      <w:rFonts w:hint="default" w:eastAsia="Times New Roman" w:cs="Times New Roman"/>
      <w:color w:val="auto"/>
      <w:sz w:val="28"/>
      <w:szCs w:val="28"/>
      <w:lang w:val="en-US" w:eastAsia="zh-CN" w:bidi="ar-SA"/>
    </w:rPr>
  </w:style>
  <w:style w:type="character" w:customStyle="1" w:styleId="50">
    <w:name w:val="WW8Num3z0"/>
    <w:uiPriority w:val="0"/>
    <w:rPr>
      <w:rFonts w:hint="default" w:ascii="Times New Roman" w:hAnsi="Times New Roman" w:eastAsia="Times New Roman" w:cs="Times New Roman"/>
      <w:color w:val="auto"/>
      <w:sz w:val="28"/>
      <w:szCs w:val="28"/>
      <w:lang w:val="en-US" w:eastAsia="zh-CN" w:bidi="ar-SA"/>
    </w:rPr>
  </w:style>
  <w:style w:type="character" w:customStyle="1" w:styleId="51">
    <w:name w:val="WW8Num4z0"/>
    <w:uiPriority w:val="0"/>
    <w:rPr>
      <w:rFonts w:hint="default"/>
      <w:sz w:val="28"/>
      <w:szCs w:val="28"/>
    </w:rPr>
  </w:style>
  <w:style w:type="character" w:customStyle="1" w:styleId="52">
    <w:name w:val="WW8Num5z0"/>
    <w:uiPriority w:val="0"/>
    <w:rPr>
      <w:rFonts w:hint="default" w:ascii="Calibri" w:hAnsi="Calibri" w:cs="Times New Roman"/>
      <w:sz w:val="28"/>
      <w:szCs w:val="28"/>
      <w:lang/>
    </w:rPr>
  </w:style>
  <w:style w:type="character" w:customStyle="1" w:styleId="53">
    <w:name w:val="WW8Num6z0"/>
    <w:uiPriority w:val="0"/>
    <w:rPr>
      <w:rFonts w:hint="default"/>
    </w:rPr>
  </w:style>
  <w:style w:type="character" w:customStyle="1" w:styleId="54">
    <w:name w:val="WW8Num2z1"/>
    <w:uiPriority w:val="0"/>
  </w:style>
  <w:style w:type="character" w:customStyle="1" w:styleId="55">
    <w:name w:val="WW8Num2z2"/>
    <w:uiPriority w:val="0"/>
  </w:style>
  <w:style w:type="character" w:customStyle="1" w:styleId="56">
    <w:name w:val="WW8Num2z3"/>
    <w:uiPriority w:val="0"/>
  </w:style>
  <w:style w:type="character" w:customStyle="1" w:styleId="57">
    <w:name w:val="WW8Num2z4"/>
    <w:uiPriority w:val="0"/>
  </w:style>
  <w:style w:type="character" w:customStyle="1" w:styleId="58">
    <w:name w:val="WW8Num2z5"/>
    <w:uiPriority w:val="0"/>
  </w:style>
  <w:style w:type="character" w:customStyle="1" w:styleId="59">
    <w:name w:val="WW8Num2z6"/>
    <w:uiPriority w:val="0"/>
  </w:style>
  <w:style w:type="character" w:customStyle="1" w:styleId="60">
    <w:name w:val="WW8Num2z7"/>
    <w:uiPriority w:val="0"/>
  </w:style>
  <w:style w:type="character" w:customStyle="1" w:styleId="61">
    <w:name w:val="WW8Num2z8"/>
    <w:uiPriority w:val="0"/>
  </w:style>
  <w:style w:type="character" w:customStyle="1" w:styleId="62">
    <w:name w:val="WW8Num3z1"/>
    <w:uiPriority w:val="0"/>
    <w:rPr>
      <w:rFonts w:hint="default" w:ascii="Courier New" w:hAnsi="Courier New" w:cs="Courier New"/>
    </w:rPr>
  </w:style>
  <w:style w:type="character" w:customStyle="1" w:styleId="63">
    <w:name w:val="WW8Num3z2"/>
    <w:uiPriority w:val="0"/>
    <w:rPr>
      <w:rFonts w:hint="default" w:ascii="Wingdings" w:hAnsi="Wingdings" w:cs="Wingdings"/>
    </w:rPr>
  </w:style>
  <w:style w:type="character" w:customStyle="1" w:styleId="64">
    <w:name w:val="WW8Num3z3"/>
    <w:uiPriority w:val="0"/>
    <w:rPr>
      <w:rFonts w:hint="default" w:ascii="Symbol" w:hAnsi="Symbol" w:cs="Symbol"/>
    </w:rPr>
  </w:style>
  <w:style w:type="character" w:customStyle="1" w:styleId="65">
    <w:name w:val="WW8Num4z1"/>
    <w:uiPriority w:val="0"/>
    <w:rPr>
      <w:rFonts w:hint="default" w:ascii="Courier New" w:hAnsi="Courier New" w:cs="Courier New"/>
    </w:rPr>
  </w:style>
  <w:style w:type="character" w:customStyle="1" w:styleId="66">
    <w:name w:val="WW8Num4z2"/>
    <w:uiPriority w:val="0"/>
    <w:rPr>
      <w:rFonts w:hint="default" w:ascii="Wingdings" w:hAnsi="Wingdings" w:cs="Wingdings"/>
    </w:rPr>
  </w:style>
  <w:style w:type="character" w:customStyle="1" w:styleId="67">
    <w:name w:val="WW8Num4z3"/>
    <w:uiPriority w:val="0"/>
    <w:rPr>
      <w:rFonts w:hint="default" w:ascii="Symbol" w:hAnsi="Symbol" w:cs="Symbol"/>
    </w:rPr>
  </w:style>
  <w:style w:type="character" w:customStyle="1" w:styleId="68">
    <w:name w:val="WW8Num5z1"/>
    <w:uiPriority w:val="0"/>
    <w:rPr>
      <w:rFonts w:hint="default" w:ascii="Courier New" w:hAnsi="Courier New" w:cs="Courier New"/>
    </w:rPr>
  </w:style>
  <w:style w:type="character" w:customStyle="1" w:styleId="69">
    <w:name w:val="WW8Num5z2"/>
    <w:uiPriority w:val="0"/>
    <w:rPr>
      <w:rFonts w:hint="default" w:ascii="Wingdings" w:hAnsi="Wingdings" w:cs="Wingdings"/>
    </w:rPr>
  </w:style>
  <w:style w:type="character" w:customStyle="1" w:styleId="70">
    <w:name w:val="WW8Num6z1"/>
    <w:uiPriority w:val="0"/>
  </w:style>
  <w:style w:type="character" w:customStyle="1" w:styleId="71">
    <w:name w:val="WW8Num6z2"/>
    <w:uiPriority w:val="0"/>
  </w:style>
  <w:style w:type="character" w:customStyle="1" w:styleId="72">
    <w:name w:val="WW8Num6z3"/>
    <w:uiPriority w:val="0"/>
  </w:style>
  <w:style w:type="character" w:customStyle="1" w:styleId="73">
    <w:name w:val="WW8Num6z4"/>
    <w:uiPriority w:val="0"/>
  </w:style>
  <w:style w:type="character" w:customStyle="1" w:styleId="74">
    <w:name w:val="WW8Num6z5"/>
    <w:uiPriority w:val="0"/>
  </w:style>
  <w:style w:type="character" w:customStyle="1" w:styleId="75">
    <w:name w:val="WW8Num6z6"/>
    <w:uiPriority w:val="0"/>
  </w:style>
  <w:style w:type="character" w:customStyle="1" w:styleId="76">
    <w:name w:val="WW8Num6z7"/>
    <w:uiPriority w:val="0"/>
  </w:style>
  <w:style w:type="character" w:customStyle="1" w:styleId="77">
    <w:name w:val="WW8Num6z8"/>
    <w:uiPriority w:val="0"/>
  </w:style>
  <w:style w:type="character" w:customStyle="1" w:styleId="78">
    <w:name w:val="WW8Num7z0"/>
    <w:uiPriority w:val="0"/>
    <w:rPr>
      <w:rFonts w:hint="default" w:ascii="Times New Roman" w:hAnsi="Times New Roman" w:eastAsia="Times New Roman" w:cs="Times New Roman"/>
      <w:sz w:val="28"/>
      <w:szCs w:val="28"/>
      <w:lang w:val="en-US"/>
    </w:rPr>
  </w:style>
  <w:style w:type="character" w:customStyle="1" w:styleId="79">
    <w:name w:val="WW8Num7z1"/>
    <w:uiPriority w:val="0"/>
    <w:rPr>
      <w:rFonts w:hint="default" w:ascii="Courier New" w:hAnsi="Courier New" w:cs="Courier New"/>
    </w:rPr>
  </w:style>
  <w:style w:type="character" w:customStyle="1" w:styleId="80">
    <w:name w:val="WW8Num7z2"/>
    <w:uiPriority w:val="0"/>
    <w:rPr>
      <w:rFonts w:hint="default" w:ascii="Wingdings" w:hAnsi="Wingdings" w:cs="Wingdings"/>
    </w:rPr>
  </w:style>
  <w:style w:type="character" w:customStyle="1" w:styleId="81">
    <w:name w:val="WW8Num7z3"/>
    <w:uiPriority w:val="0"/>
    <w:rPr>
      <w:rFonts w:hint="default" w:ascii="Symbol" w:hAnsi="Symbol" w:cs="Symbol"/>
    </w:rPr>
  </w:style>
  <w:style w:type="character" w:customStyle="1" w:styleId="82">
    <w:name w:val="WW8Num8z0"/>
    <w:uiPriority w:val="0"/>
    <w:rPr>
      <w:rFonts w:hint="default" w:ascii="Symbol" w:hAnsi="Symbol" w:cs="Symbol"/>
      <w:color w:val="auto"/>
    </w:rPr>
  </w:style>
  <w:style w:type="character" w:customStyle="1" w:styleId="83">
    <w:name w:val="WW8Num8z1"/>
    <w:uiPriority w:val="0"/>
    <w:rPr>
      <w:rFonts w:hint="default" w:ascii="Courier New" w:hAnsi="Courier New" w:cs="Courier New"/>
    </w:rPr>
  </w:style>
  <w:style w:type="character" w:customStyle="1" w:styleId="84">
    <w:name w:val="WW8Num8z2"/>
    <w:uiPriority w:val="0"/>
    <w:rPr>
      <w:rFonts w:hint="default" w:ascii="Wingdings" w:hAnsi="Wingdings" w:cs="Wingdings"/>
    </w:rPr>
  </w:style>
  <w:style w:type="character" w:customStyle="1" w:styleId="85">
    <w:name w:val="WW8Num8z3"/>
    <w:uiPriority w:val="0"/>
    <w:rPr>
      <w:rFonts w:hint="default" w:ascii="Symbol" w:hAnsi="Symbol" w:cs="Symbol"/>
    </w:rPr>
  </w:style>
  <w:style w:type="character" w:customStyle="1" w:styleId="86">
    <w:name w:val="WW8Num9z0"/>
    <w:uiPriority w:val="0"/>
    <w:rPr>
      <w:rFonts w:hint="default"/>
      <w:sz w:val="28"/>
      <w:szCs w:val="28"/>
    </w:rPr>
  </w:style>
  <w:style w:type="character" w:customStyle="1" w:styleId="87">
    <w:name w:val="WW8Num9z1"/>
    <w:uiPriority w:val="0"/>
  </w:style>
  <w:style w:type="character" w:customStyle="1" w:styleId="88">
    <w:name w:val="WW8Num9z2"/>
    <w:uiPriority w:val="0"/>
  </w:style>
  <w:style w:type="character" w:customStyle="1" w:styleId="89">
    <w:name w:val="WW8Num9z3"/>
    <w:uiPriority w:val="0"/>
  </w:style>
  <w:style w:type="character" w:customStyle="1" w:styleId="90">
    <w:name w:val="WW8Num9z4"/>
    <w:uiPriority w:val="0"/>
  </w:style>
  <w:style w:type="character" w:customStyle="1" w:styleId="91">
    <w:name w:val="WW8Num9z5"/>
    <w:uiPriority w:val="0"/>
  </w:style>
  <w:style w:type="character" w:customStyle="1" w:styleId="92">
    <w:name w:val="WW8Num9z6"/>
    <w:uiPriority w:val="0"/>
  </w:style>
  <w:style w:type="character" w:customStyle="1" w:styleId="93">
    <w:name w:val="WW8Num9z7"/>
    <w:uiPriority w:val="0"/>
  </w:style>
  <w:style w:type="character" w:customStyle="1" w:styleId="94">
    <w:name w:val="WW8Num9z8"/>
    <w:uiPriority w:val="0"/>
  </w:style>
  <w:style w:type="character" w:customStyle="1" w:styleId="95">
    <w:name w:val="WW8Num10z0"/>
    <w:uiPriority w:val="0"/>
    <w:rPr>
      <w:rFonts w:hint="default" w:ascii="Calibri" w:hAnsi="Calibri" w:eastAsia="Times New Roman" w:cs="Times New Roman"/>
      <w:sz w:val="28"/>
      <w:szCs w:val="28"/>
      <w:lang/>
    </w:rPr>
  </w:style>
  <w:style w:type="character" w:customStyle="1" w:styleId="96">
    <w:name w:val="WW8Num10z1"/>
    <w:uiPriority w:val="0"/>
    <w:rPr>
      <w:rFonts w:hint="default" w:ascii="Courier New" w:hAnsi="Courier New" w:cs="Courier New"/>
    </w:rPr>
  </w:style>
  <w:style w:type="character" w:customStyle="1" w:styleId="97">
    <w:name w:val="WW8Num10z2"/>
    <w:uiPriority w:val="0"/>
    <w:rPr>
      <w:rFonts w:hint="default" w:ascii="Wingdings" w:hAnsi="Wingdings" w:cs="Wingdings"/>
    </w:rPr>
  </w:style>
  <w:style w:type="character" w:customStyle="1" w:styleId="98">
    <w:name w:val="WW8Num10z3"/>
    <w:uiPriority w:val="0"/>
    <w:rPr>
      <w:rFonts w:hint="default" w:ascii="Symbol" w:hAnsi="Symbol" w:cs="Symbol"/>
    </w:rPr>
  </w:style>
  <w:style w:type="character" w:customStyle="1" w:styleId="99">
    <w:name w:val="WW8Num11z0"/>
    <w:uiPriority w:val="0"/>
  </w:style>
  <w:style w:type="character" w:customStyle="1" w:styleId="100">
    <w:name w:val="WW8Num11z1"/>
    <w:uiPriority w:val="0"/>
  </w:style>
  <w:style w:type="character" w:customStyle="1" w:styleId="101">
    <w:name w:val="WW8Num11z2"/>
    <w:uiPriority w:val="0"/>
  </w:style>
  <w:style w:type="character" w:customStyle="1" w:styleId="102">
    <w:name w:val="WW8Num11z3"/>
    <w:uiPriority w:val="0"/>
  </w:style>
  <w:style w:type="character" w:customStyle="1" w:styleId="103">
    <w:name w:val="WW8Num11z4"/>
    <w:uiPriority w:val="0"/>
  </w:style>
  <w:style w:type="character" w:customStyle="1" w:styleId="104">
    <w:name w:val="WW8Num11z5"/>
    <w:uiPriority w:val="0"/>
  </w:style>
  <w:style w:type="character" w:customStyle="1" w:styleId="105">
    <w:name w:val="WW8Num11z6"/>
    <w:uiPriority w:val="0"/>
  </w:style>
  <w:style w:type="character" w:customStyle="1" w:styleId="106">
    <w:name w:val="WW8Num11z7"/>
    <w:uiPriority w:val="0"/>
  </w:style>
  <w:style w:type="character" w:customStyle="1" w:styleId="107">
    <w:name w:val="WW8Num11z8"/>
    <w:uiPriority w:val="0"/>
  </w:style>
  <w:style w:type="character" w:customStyle="1" w:styleId="108">
    <w:name w:val="WW8Num12z0"/>
    <w:uiPriority w:val="0"/>
    <w:rPr>
      <w:rFonts w:hint="default" w:ascii="Times New Roman" w:hAnsi="Times New Roman" w:cs="Times New Roman"/>
      <w:color w:val="auto"/>
    </w:rPr>
  </w:style>
  <w:style w:type="character" w:customStyle="1" w:styleId="109">
    <w:name w:val="WW8Num12z1"/>
    <w:uiPriority w:val="0"/>
    <w:rPr>
      <w:rFonts w:hint="default" w:ascii="Courier New" w:hAnsi="Courier New" w:cs="Courier New"/>
    </w:rPr>
  </w:style>
  <w:style w:type="character" w:customStyle="1" w:styleId="110">
    <w:name w:val="WW8Num12z2"/>
    <w:uiPriority w:val="0"/>
    <w:rPr>
      <w:rFonts w:hint="default" w:ascii="Wingdings" w:hAnsi="Wingdings" w:cs="Wingdings"/>
    </w:rPr>
  </w:style>
  <w:style w:type="character" w:customStyle="1" w:styleId="111">
    <w:name w:val="WW8Num12z3"/>
    <w:uiPriority w:val="0"/>
    <w:rPr>
      <w:rFonts w:hint="default" w:ascii="Symbol" w:hAnsi="Symbol" w:cs="Symbol"/>
    </w:rPr>
  </w:style>
  <w:style w:type="character" w:customStyle="1" w:styleId="112">
    <w:name w:val="WW8Num13z0"/>
    <w:uiPriority w:val="0"/>
    <w:rPr>
      <w:rFonts w:hint="default"/>
    </w:rPr>
  </w:style>
  <w:style w:type="character" w:customStyle="1" w:styleId="113">
    <w:name w:val="WW8Num13z1"/>
    <w:uiPriority w:val="0"/>
  </w:style>
  <w:style w:type="character" w:customStyle="1" w:styleId="114">
    <w:name w:val="WW8Num13z2"/>
    <w:uiPriority w:val="0"/>
  </w:style>
  <w:style w:type="character" w:customStyle="1" w:styleId="115">
    <w:name w:val="WW8Num13z3"/>
    <w:uiPriority w:val="0"/>
  </w:style>
  <w:style w:type="character" w:customStyle="1" w:styleId="116">
    <w:name w:val="WW8Num13z4"/>
    <w:uiPriority w:val="0"/>
  </w:style>
  <w:style w:type="character" w:customStyle="1" w:styleId="117">
    <w:name w:val="WW8Num13z5"/>
    <w:uiPriority w:val="0"/>
  </w:style>
  <w:style w:type="character" w:customStyle="1" w:styleId="118">
    <w:name w:val="WW8Num13z6"/>
    <w:uiPriority w:val="0"/>
  </w:style>
  <w:style w:type="character" w:customStyle="1" w:styleId="119">
    <w:name w:val="WW8Num13z7"/>
    <w:uiPriority w:val="0"/>
  </w:style>
  <w:style w:type="character" w:customStyle="1" w:styleId="120">
    <w:name w:val="WW8Num13z8"/>
    <w:uiPriority w:val="0"/>
  </w:style>
  <w:style w:type="character" w:customStyle="1" w:styleId="121">
    <w:name w:val="WW8Num14z0"/>
    <w:uiPriority w:val="0"/>
    <w:rPr>
      <w:rFonts w:hint="default"/>
    </w:rPr>
  </w:style>
  <w:style w:type="character" w:customStyle="1" w:styleId="122">
    <w:name w:val="WW8Num14z1"/>
    <w:uiPriority w:val="0"/>
  </w:style>
  <w:style w:type="character" w:customStyle="1" w:styleId="123">
    <w:name w:val="WW8Num14z2"/>
    <w:uiPriority w:val="0"/>
  </w:style>
  <w:style w:type="character" w:customStyle="1" w:styleId="124">
    <w:name w:val="WW8Num14z3"/>
    <w:uiPriority w:val="0"/>
  </w:style>
  <w:style w:type="character" w:customStyle="1" w:styleId="125">
    <w:name w:val="WW8Num14z4"/>
    <w:uiPriority w:val="0"/>
  </w:style>
  <w:style w:type="character" w:customStyle="1" w:styleId="126">
    <w:name w:val="WW8Num14z5"/>
    <w:uiPriority w:val="0"/>
  </w:style>
  <w:style w:type="character" w:customStyle="1" w:styleId="127">
    <w:name w:val="WW8Num14z6"/>
    <w:uiPriority w:val="0"/>
  </w:style>
  <w:style w:type="character" w:customStyle="1" w:styleId="128">
    <w:name w:val="WW8Num14z7"/>
    <w:uiPriority w:val="0"/>
  </w:style>
  <w:style w:type="character" w:customStyle="1" w:styleId="129">
    <w:name w:val="WW8Num14z8"/>
    <w:uiPriority w:val="0"/>
  </w:style>
  <w:style w:type="character" w:customStyle="1" w:styleId="130">
    <w:name w:val="WW8Num15z0"/>
    <w:uiPriority w:val="0"/>
    <w:rPr>
      <w:rFonts w:hint="default"/>
    </w:rPr>
  </w:style>
  <w:style w:type="character" w:customStyle="1" w:styleId="131">
    <w:name w:val="WW8Num15z1"/>
    <w:uiPriority w:val="0"/>
  </w:style>
  <w:style w:type="character" w:customStyle="1" w:styleId="132">
    <w:name w:val="WW8Num15z2"/>
    <w:uiPriority w:val="0"/>
  </w:style>
  <w:style w:type="character" w:customStyle="1" w:styleId="133">
    <w:name w:val="WW8Num15z3"/>
    <w:uiPriority w:val="0"/>
  </w:style>
  <w:style w:type="character" w:customStyle="1" w:styleId="134">
    <w:name w:val="WW8Num15z4"/>
    <w:uiPriority w:val="0"/>
  </w:style>
  <w:style w:type="character" w:customStyle="1" w:styleId="135">
    <w:name w:val="WW8Num15z5"/>
    <w:uiPriority w:val="0"/>
  </w:style>
  <w:style w:type="character" w:customStyle="1" w:styleId="136">
    <w:name w:val="WW8Num15z6"/>
    <w:uiPriority w:val="0"/>
  </w:style>
  <w:style w:type="character" w:customStyle="1" w:styleId="137">
    <w:name w:val="WW8Num15z7"/>
    <w:uiPriority w:val="0"/>
  </w:style>
  <w:style w:type="character" w:customStyle="1" w:styleId="138">
    <w:name w:val="WW8Num15z8"/>
    <w:uiPriority w:val="0"/>
  </w:style>
  <w:style w:type="character" w:customStyle="1" w:styleId="139">
    <w:name w:val="WW8Num16z0"/>
    <w:uiPriority w:val="0"/>
    <w:rPr>
      <w:rFonts w:hint="default"/>
    </w:rPr>
  </w:style>
  <w:style w:type="character" w:customStyle="1" w:styleId="140">
    <w:name w:val="WW8Num16z1"/>
    <w:uiPriority w:val="0"/>
  </w:style>
  <w:style w:type="character" w:customStyle="1" w:styleId="141">
    <w:name w:val="WW8Num16z2"/>
    <w:uiPriority w:val="0"/>
  </w:style>
  <w:style w:type="character" w:customStyle="1" w:styleId="142">
    <w:name w:val="WW8Num16z3"/>
    <w:uiPriority w:val="0"/>
  </w:style>
  <w:style w:type="character" w:customStyle="1" w:styleId="143">
    <w:name w:val="WW8Num16z4"/>
    <w:uiPriority w:val="0"/>
  </w:style>
  <w:style w:type="character" w:customStyle="1" w:styleId="144">
    <w:name w:val="WW8Num16z5"/>
    <w:uiPriority w:val="0"/>
  </w:style>
  <w:style w:type="character" w:customStyle="1" w:styleId="145">
    <w:name w:val="WW8Num16z6"/>
    <w:uiPriority w:val="0"/>
  </w:style>
  <w:style w:type="character" w:customStyle="1" w:styleId="146">
    <w:name w:val="WW8Num16z7"/>
    <w:uiPriority w:val="0"/>
  </w:style>
  <w:style w:type="character" w:customStyle="1" w:styleId="147">
    <w:name w:val="WW8Num16z8"/>
    <w:uiPriority w:val="0"/>
  </w:style>
  <w:style w:type="character" w:customStyle="1" w:styleId="148">
    <w:name w:val="Default Paragraph Font11"/>
    <w:uiPriority w:val="0"/>
  </w:style>
  <w:style w:type="character" w:customStyle="1" w:styleId="149">
    <w:name w:val="Header Char"/>
    <w:basedOn w:val="148"/>
    <w:uiPriority w:val="0"/>
  </w:style>
  <w:style w:type="character" w:customStyle="1" w:styleId="150">
    <w:name w:val="Footer Char"/>
    <w:basedOn w:val="148"/>
    <w:uiPriority w:val="0"/>
  </w:style>
  <w:style w:type="character" w:customStyle="1" w:styleId="151">
    <w:name w:val="Balloon Text Char"/>
    <w:uiPriority w:val="0"/>
    <w:rPr>
      <w:rFonts w:ascii="Tahoma" w:hAnsi="Tahoma" w:cs="Tahoma"/>
      <w:sz w:val="16"/>
      <w:szCs w:val="16"/>
      <w:lang w:val="ro-RO"/>
    </w:rPr>
  </w:style>
  <w:style w:type="character" w:customStyle="1" w:styleId="152">
    <w:name w:val="Heading 1 Char"/>
    <w:uiPriority w:val="0"/>
    <w:rPr>
      <w:rFonts w:ascii="Times New Roman" w:hAnsi="Times New Roman" w:eastAsia="Times New Roman" w:cs="Times New Roman"/>
      <w:b/>
      <w:bCs/>
      <w:sz w:val="24"/>
      <w:szCs w:val="24"/>
      <w:lang w:val="fr-FR"/>
    </w:rPr>
  </w:style>
  <w:style w:type="character" w:customStyle="1" w:styleId="153">
    <w:name w:val="Heading 2 Char"/>
    <w:uiPriority w:val="0"/>
    <w:rPr>
      <w:rFonts w:ascii="Times New Roman" w:hAnsi="Times New Roman" w:eastAsia="Times New Roman" w:cs="Times New Roman"/>
      <w:b/>
      <w:bCs/>
      <w:sz w:val="22"/>
      <w:szCs w:val="24"/>
    </w:rPr>
  </w:style>
  <w:style w:type="character" w:customStyle="1" w:styleId="154">
    <w:name w:val="Heading 3 Char"/>
    <w:uiPriority w:val="0"/>
    <w:rPr>
      <w:rFonts w:ascii="Arial" w:hAnsi="Arial" w:eastAsia="Times New Roman" w:cs="Arial"/>
      <w:b/>
      <w:bCs/>
      <w:sz w:val="26"/>
      <w:szCs w:val="26"/>
    </w:rPr>
  </w:style>
  <w:style w:type="character" w:customStyle="1" w:styleId="155">
    <w:name w:val="Heading 7 Char"/>
    <w:uiPriority w:val="0"/>
    <w:rPr>
      <w:rFonts w:ascii="Times New Roman" w:hAnsi="Times New Roman" w:eastAsia="Times New Roman" w:cs="Times New Roman"/>
      <w:sz w:val="24"/>
      <w:szCs w:val="24"/>
      <w:lang w:val="ro-RO"/>
    </w:rPr>
  </w:style>
  <w:style w:type="character" w:customStyle="1" w:styleId="156">
    <w:name w:val="Body Text 3 Char"/>
    <w:uiPriority w:val="0"/>
    <w:rPr>
      <w:rFonts w:ascii="Times New Roman" w:hAnsi="Times New Roman" w:eastAsia="Times New Roman" w:cs="Times New Roman"/>
      <w:b/>
      <w:sz w:val="24"/>
      <w:szCs w:val="24"/>
      <w:lang w:val="ro-RO"/>
    </w:rPr>
  </w:style>
  <w:style w:type="character" w:customStyle="1" w:styleId="157">
    <w:name w:val="Body Text Indent Char"/>
    <w:uiPriority w:val="0"/>
    <w:rPr>
      <w:rFonts w:ascii="Arial" w:hAnsi="Arial" w:eastAsia="Times New Roman" w:cs="Arial"/>
      <w:sz w:val="28"/>
      <w:szCs w:val="28"/>
    </w:rPr>
  </w:style>
  <w:style w:type="character" w:customStyle="1" w:styleId="158">
    <w:name w:val="articol"/>
    <w:uiPriority w:val="0"/>
  </w:style>
  <w:style w:type="character" w:customStyle="1" w:styleId="159">
    <w:name w:val="litera"/>
    <w:uiPriority w:val="0"/>
  </w:style>
  <w:style w:type="character" w:customStyle="1" w:styleId="160">
    <w:name w:val="alineat"/>
    <w:uiPriority w:val="0"/>
  </w:style>
  <w:style w:type="character" w:customStyle="1" w:styleId="161">
    <w:name w:val="sectiune"/>
    <w:uiPriority w:val="0"/>
  </w:style>
  <w:style w:type="character" w:customStyle="1" w:styleId="162">
    <w:name w:val="HTML Preformatted Char"/>
    <w:uiPriority w:val="0"/>
    <w:rPr>
      <w:rFonts w:ascii="Courier New" w:hAnsi="Courier New" w:eastAsia="Courier New" w:cs="Courier New"/>
      <w:lang w:val="ro-RO"/>
    </w:rPr>
  </w:style>
  <w:style w:type="character" w:customStyle="1" w:styleId="163">
    <w:name w:val="search_idx_0"/>
    <w:uiPriority w:val="0"/>
  </w:style>
  <w:style w:type="character" w:customStyle="1" w:styleId="164">
    <w:name w:val="linie"/>
    <w:uiPriority w:val="0"/>
  </w:style>
  <w:style w:type="character" w:customStyle="1" w:styleId="165">
    <w:name w:val="paragraf"/>
    <w:uiPriority w:val="0"/>
  </w:style>
  <w:style w:type="character" w:customStyle="1" w:styleId="166">
    <w:name w:val="punct"/>
    <w:uiPriority w:val="0"/>
  </w:style>
  <w:style w:type="character" w:customStyle="1" w:styleId="167">
    <w:name w:val="Body Text Char"/>
    <w:uiPriority w:val="0"/>
    <w:rPr>
      <w:rFonts w:ascii="Times New Roman" w:hAnsi="Times New Roman" w:eastAsia="Times New Roman" w:cs="Times New Roman"/>
      <w:sz w:val="24"/>
      <w:szCs w:val="24"/>
      <w:lang w:val="ro-RO"/>
    </w:rPr>
  </w:style>
  <w:style w:type="character" w:customStyle="1" w:styleId="168">
    <w:name w:val="tabel1"/>
    <w:uiPriority w:val="0"/>
    <w:rPr>
      <w:rFonts w:hint="default" w:ascii="Courier New" w:hAnsi="Courier New" w:cs="Courier New"/>
      <w:color w:val="000000"/>
      <w:sz w:val="20"/>
      <w:szCs w:val="20"/>
      <w:shd w:val="clear" w:color="auto" w:fill="auto"/>
    </w:rPr>
  </w:style>
  <w:style w:type="character" w:customStyle="1" w:styleId="169">
    <w:name w:val="Body Text 2 Char"/>
    <w:uiPriority w:val="0"/>
    <w:rPr>
      <w:rFonts w:ascii="Times New Roman" w:hAnsi="Times New Roman" w:eastAsia="Times New Roman" w:cs="Times New Roman"/>
      <w:sz w:val="24"/>
      <w:szCs w:val="24"/>
      <w:lang w:val="ro-RO"/>
    </w:rPr>
  </w:style>
  <w:style w:type="character" w:customStyle="1" w:styleId="170">
    <w:name w:val="paragraf1"/>
    <w:uiPriority w:val="0"/>
    <w:rPr>
      <w:shd w:val="clear" w:color="auto" w:fill="auto"/>
    </w:rPr>
  </w:style>
  <w:style w:type="character" w:customStyle="1" w:styleId="171">
    <w:name w:val="Footnote Text Char"/>
    <w:uiPriority w:val="0"/>
    <w:rPr>
      <w:rFonts w:ascii="Times New Roman" w:hAnsi="Times New Roman" w:eastAsia="Times New Roman" w:cs="Times New Roman"/>
    </w:rPr>
  </w:style>
  <w:style w:type="character" w:customStyle="1" w:styleId="172">
    <w:name w:val="Footnote Characters"/>
    <w:uiPriority w:val="0"/>
    <w:rPr>
      <w:vertAlign w:val="superscript"/>
    </w:rPr>
  </w:style>
  <w:style w:type="character" w:customStyle="1" w:styleId="173">
    <w:name w:val="ln2tparagraf"/>
    <w:uiPriority w:val="0"/>
  </w:style>
  <w:style w:type="character" w:customStyle="1" w:styleId="174">
    <w:name w:val="Title Char"/>
    <w:uiPriority w:val="0"/>
    <w:rPr>
      <w:rFonts w:ascii="Times New Roman" w:hAnsi="Times New Roman" w:eastAsia="Times New Roman" w:cs="Times New Roman"/>
      <w:b/>
      <w:sz w:val="28"/>
      <w:lang w:val="en-GB"/>
    </w:rPr>
  </w:style>
  <w:style w:type="character" w:customStyle="1" w:styleId="175">
    <w:name w:val="Default Text:1 Char"/>
    <w:uiPriority w:val="0"/>
    <w:rPr>
      <w:rFonts w:ascii="Arial" w:hAnsi="Arial" w:cs="Arial"/>
      <w:sz w:val="24"/>
      <w:szCs w:val="24"/>
    </w:rPr>
  </w:style>
  <w:style w:type="character" w:customStyle="1" w:styleId="176">
    <w:name w:val="Anexa Char"/>
    <w:uiPriority w:val="0"/>
    <w:rPr>
      <w:rFonts w:ascii="MS Sans Serif" w:hAnsi="MS Sans Serif" w:eastAsia="Times New Roman" w:cs="MS Sans Serif"/>
      <w:sz w:val="24"/>
      <w:szCs w:val="24"/>
      <w:lang w:val="ro-RO"/>
    </w:rPr>
  </w:style>
  <w:style w:type="character" w:customStyle="1" w:styleId="177">
    <w:name w:val="Document Map Char"/>
    <w:uiPriority w:val="0"/>
    <w:rPr>
      <w:rFonts w:ascii="Tahoma" w:hAnsi="Tahoma" w:eastAsia="Times New Roman" w:cs="Tahoma"/>
      <w:shd w:val="clear" w:color="auto" w:fill="000080"/>
    </w:rPr>
  </w:style>
  <w:style w:type="character" w:customStyle="1" w:styleId="178">
    <w:name w:val="WW8Num17z0"/>
    <w:uiPriority w:val="0"/>
    <w:rPr>
      <w:rFonts w:ascii="Wingdings" w:hAnsi="Wingdings" w:cs="OpenSymbol"/>
    </w:rPr>
  </w:style>
  <w:style w:type="character" w:customStyle="1" w:styleId="179">
    <w:name w:val="WW8Num18z0"/>
    <w:uiPriority w:val="0"/>
    <w:rPr>
      <w:rFonts w:ascii="Times New Roman" w:hAnsi="Times New Roman" w:cs="Times New Roman"/>
      <w:sz w:val="20"/>
    </w:rPr>
  </w:style>
  <w:style w:type="character" w:customStyle="1" w:styleId="180">
    <w:name w:val="WW8Num19z0"/>
    <w:uiPriority w:val="0"/>
    <w:rPr>
      <w:rFonts w:ascii="Wingdings" w:hAnsi="Wingdings" w:cs="Wingdings"/>
    </w:rPr>
  </w:style>
  <w:style w:type="character" w:customStyle="1" w:styleId="181">
    <w:name w:val="WW8Num20z0"/>
    <w:uiPriority w:val="0"/>
    <w:rPr>
      <w:rFonts w:ascii="Wingdings" w:hAnsi="Wingdings" w:cs="OpenSymbol"/>
    </w:rPr>
  </w:style>
  <w:style w:type="character" w:customStyle="1" w:styleId="182">
    <w:name w:val="WW8Num21z0"/>
    <w:uiPriority w:val="0"/>
    <w:rPr>
      <w:rFonts w:ascii="Times New Roman" w:hAnsi="Times New Roman" w:cs="Times New Roman"/>
      <w:sz w:val="20"/>
    </w:rPr>
  </w:style>
  <w:style w:type="character" w:customStyle="1" w:styleId="183">
    <w:name w:val="Absatz-Standardschriftart"/>
    <w:uiPriority w:val="0"/>
  </w:style>
  <w:style w:type="character" w:customStyle="1" w:styleId="184">
    <w:name w:val="WW-Absatz-Standardschriftart"/>
    <w:uiPriority w:val="0"/>
  </w:style>
  <w:style w:type="character" w:customStyle="1" w:styleId="185">
    <w:name w:val="WW-Absatz-Standardschriftart1"/>
    <w:uiPriority w:val="0"/>
  </w:style>
  <w:style w:type="character" w:customStyle="1" w:styleId="186">
    <w:name w:val="WW-Absatz-Standardschriftart11"/>
    <w:uiPriority w:val="0"/>
  </w:style>
  <w:style w:type="character" w:customStyle="1" w:styleId="187">
    <w:name w:val="WW-Absatz-Standardschriftart111"/>
    <w:uiPriority w:val="0"/>
  </w:style>
  <w:style w:type="character" w:customStyle="1" w:styleId="188">
    <w:name w:val="WW8Num24z0"/>
    <w:uiPriority w:val="0"/>
    <w:rPr>
      <w:rFonts w:ascii="Times New Roman" w:hAnsi="Times New Roman" w:cs="Times New Roman"/>
      <w:sz w:val="20"/>
    </w:rPr>
  </w:style>
  <w:style w:type="character" w:customStyle="1" w:styleId="189">
    <w:name w:val="WW8Num24z1"/>
    <w:uiPriority w:val="0"/>
    <w:rPr>
      <w:rFonts w:ascii="Courier New" w:hAnsi="Courier New" w:cs="Courier New"/>
    </w:rPr>
  </w:style>
  <w:style w:type="character" w:customStyle="1" w:styleId="190">
    <w:name w:val="WW8Num24z2"/>
    <w:uiPriority w:val="0"/>
    <w:rPr>
      <w:rFonts w:ascii="Wingdings" w:hAnsi="Wingdings" w:cs="Wingdings"/>
    </w:rPr>
  </w:style>
  <w:style w:type="character" w:customStyle="1" w:styleId="191">
    <w:name w:val="WW8Num25z0"/>
    <w:uiPriority w:val="0"/>
    <w:rPr>
      <w:rFonts w:ascii="Wingdings" w:hAnsi="Wingdings" w:cs="Wingdings"/>
    </w:rPr>
  </w:style>
  <w:style w:type="character" w:customStyle="1" w:styleId="192">
    <w:name w:val="WW8Num25z1"/>
    <w:uiPriority w:val="0"/>
    <w:rPr>
      <w:rFonts w:ascii="Courier New" w:hAnsi="Courier New" w:cs="Courier New"/>
      <w:sz w:val="20"/>
    </w:rPr>
  </w:style>
  <w:style w:type="character" w:customStyle="1" w:styleId="193">
    <w:name w:val="WW8Num25z2"/>
    <w:uiPriority w:val="0"/>
    <w:rPr>
      <w:rFonts w:ascii="Wingdings" w:hAnsi="Wingdings" w:cs="Wingdings"/>
      <w:sz w:val="20"/>
    </w:rPr>
  </w:style>
  <w:style w:type="character" w:customStyle="1" w:styleId="194">
    <w:name w:val="WW8Num29z0"/>
    <w:uiPriority w:val="0"/>
  </w:style>
  <w:style w:type="character" w:customStyle="1" w:styleId="195">
    <w:name w:val="WW8Num30z0"/>
    <w:uiPriority w:val="0"/>
    <w:rPr>
      <w:rFonts w:ascii="Times New Roman" w:hAnsi="Times New Roman" w:cs="Times New Roman"/>
      <w:sz w:val="20"/>
    </w:rPr>
  </w:style>
  <w:style w:type="character" w:customStyle="1" w:styleId="196">
    <w:name w:val="WW8Num30z1"/>
    <w:uiPriority w:val="0"/>
    <w:rPr>
      <w:rFonts w:ascii="Courier New" w:hAnsi="Courier New" w:cs="Courier New"/>
    </w:rPr>
  </w:style>
  <w:style w:type="character" w:customStyle="1" w:styleId="197">
    <w:name w:val="WW8Num30z2"/>
    <w:uiPriority w:val="0"/>
    <w:rPr>
      <w:rFonts w:ascii="Wingdings" w:hAnsi="Wingdings" w:cs="Wingdings"/>
    </w:rPr>
  </w:style>
  <w:style w:type="character" w:customStyle="1" w:styleId="198">
    <w:name w:val="WW8Num30z3"/>
    <w:uiPriority w:val="0"/>
    <w:rPr>
      <w:rFonts w:ascii="Symbol" w:hAnsi="Symbol" w:cs="Symbol"/>
    </w:rPr>
  </w:style>
  <w:style w:type="character" w:customStyle="1" w:styleId="199">
    <w:name w:val="WW8Num31z0"/>
    <w:uiPriority w:val="0"/>
    <w:rPr>
      <w:rFonts w:ascii="Wingdings" w:hAnsi="Wingdings" w:cs="Wingdings"/>
    </w:rPr>
  </w:style>
  <w:style w:type="character" w:customStyle="1" w:styleId="200">
    <w:name w:val="WW8Num31z1"/>
    <w:uiPriority w:val="0"/>
    <w:rPr>
      <w:rFonts w:ascii="Courier New" w:hAnsi="Courier New" w:cs="Courier New"/>
    </w:rPr>
  </w:style>
  <w:style w:type="character" w:customStyle="1" w:styleId="201">
    <w:name w:val="WW8Num31z2"/>
    <w:uiPriority w:val="0"/>
    <w:rPr>
      <w:rFonts w:ascii="Wingdings" w:hAnsi="Wingdings" w:cs="Wingdings"/>
    </w:rPr>
  </w:style>
  <w:style w:type="character" w:customStyle="1" w:styleId="202">
    <w:name w:val="WW8Num31z3"/>
    <w:uiPriority w:val="0"/>
    <w:rPr>
      <w:rFonts w:ascii="Symbol" w:hAnsi="Symbol" w:cs="Symbol"/>
    </w:rPr>
  </w:style>
  <w:style w:type="character" w:customStyle="1" w:styleId="203">
    <w:name w:val="WW8Num33z0"/>
    <w:uiPriority w:val="0"/>
    <w:rPr>
      <w:rFonts w:ascii="Times New Roman" w:hAnsi="Times New Roman" w:cs="Times New Roman"/>
      <w:sz w:val="20"/>
    </w:rPr>
  </w:style>
  <w:style w:type="character" w:customStyle="1" w:styleId="204">
    <w:name w:val="WW8Num33z1"/>
    <w:uiPriority w:val="0"/>
    <w:rPr>
      <w:rFonts w:ascii="Courier New" w:hAnsi="Courier New" w:cs="Courier New"/>
    </w:rPr>
  </w:style>
  <w:style w:type="character" w:customStyle="1" w:styleId="205">
    <w:name w:val="WW8Num33z2"/>
    <w:uiPriority w:val="0"/>
    <w:rPr>
      <w:rFonts w:ascii="Wingdings" w:hAnsi="Wingdings" w:cs="Wingdings"/>
    </w:rPr>
  </w:style>
  <w:style w:type="character" w:customStyle="1" w:styleId="206">
    <w:name w:val="WW8Num35z0"/>
    <w:uiPriority w:val="0"/>
    <w:rPr>
      <w:rFonts w:ascii="Times New Roman" w:hAnsi="Times New Roman" w:cs="Times New Roman"/>
      <w:sz w:val="20"/>
    </w:rPr>
  </w:style>
  <w:style w:type="character" w:customStyle="1" w:styleId="207">
    <w:name w:val="WW8Num35z1"/>
    <w:uiPriority w:val="0"/>
    <w:rPr>
      <w:rFonts w:ascii="Courier New" w:hAnsi="Courier New" w:cs="Courier New"/>
    </w:rPr>
  </w:style>
  <w:style w:type="character" w:customStyle="1" w:styleId="208">
    <w:name w:val="WW8Num35z2"/>
    <w:uiPriority w:val="0"/>
    <w:rPr>
      <w:rFonts w:ascii="Wingdings" w:hAnsi="Wingdings" w:cs="Wingdings"/>
    </w:rPr>
  </w:style>
  <w:style w:type="character" w:customStyle="1" w:styleId="209">
    <w:name w:val="WW8Num35z3"/>
    <w:uiPriority w:val="0"/>
    <w:rPr>
      <w:rFonts w:ascii="Symbol" w:hAnsi="Symbol" w:cs="Symbol"/>
    </w:rPr>
  </w:style>
  <w:style w:type="character" w:customStyle="1" w:styleId="210">
    <w:name w:val="Default Paragraph Font1"/>
    <w:uiPriority w:val="0"/>
  </w:style>
  <w:style w:type="character" w:customStyle="1" w:styleId="211">
    <w:name w:val=" Char Char1"/>
    <w:uiPriority w:val="0"/>
    <w:rPr>
      <w:sz w:val="16"/>
      <w:szCs w:val="16"/>
      <w:lang w:val="en-US" w:bidi="ar-SA"/>
    </w:rPr>
  </w:style>
  <w:style w:type="character" w:customStyle="1" w:styleId="212">
    <w:name w:val="noticetext"/>
    <w:uiPriority w:val="0"/>
  </w:style>
  <w:style w:type="character" w:customStyle="1" w:styleId="213">
    <w:name w:val="Font de paragraf implicit2"/>
    <w:uiPriority w:val="0"/>
  </w:style>
  <w:style w:type="character" w:customStyle="1" w:styleId="214">
    <w:name w:val="WW-Absatz-Standardschriftart1111"/>
    <w:uiPriority w:val="0"/>
  </w:style>
  <w:style w:type="character" w:customStyle="1" w:styleId="215">
    <w:name w:val="WW-Absatz-Standardschriftart11111"/>
    <w:uiPriority w:val="0"/>
  </w:style>
  <w:style w:type="character" w:customStyle="1" w:styleId="216">
    <w:name w:val="WW-Absatz-Standardschriftart111111"/>
    <w:uiPriority w:val="0"/>
  </w:style>
  <w:style w:type="character" w:customStyle="1" w:styleId="217">
    <w:name w:val="WW-Absatz-Standardschriftart1111111"/>
    <w:uiPriority w:val="0"/>
  </w:style>
  <w:style w:type="character" w:customStyle="1" w:styleId="218">
    <w:name w:val="WW-Absatz-Standardschriftart11111111"/>
    <w:uiPriority w:val="0"/>
  </w:style>
  <w:style w:type="character" w:customStyle="1" w:styleId="219">
    <w:name w:val="WW-Absatz-Standardschriftart111111111"/>
    <w:uiPriority w:val="0"/>
  </w:style>
  <w:style w:type="character" w:customStyle="1" w:styleId="220">
    <w:name w:val="WW-Absatz-Standardschriftart1111111111"/>
    <w:uiPriority w:val="0"/>
  </w:style>
  <w:style w:type="character" w:customStyle="1" w:styleId="221">
    <w:name w:val="WW-Absatz-Standardschriftart11111111111"/>
    <w:uiPriority w:val="0"/>
  </w:style>
  <w:style w:type="character" w:customStyle="1" w:styleId="222">
    <w:name w:val="WW-Absatz-Standardschriftart111111111111"/>
    <w:uiPriority w:val="0"/>
  </w:style>
  <w:style w:type="character" w:customStyle="1" w:styleId="223">
    <w:name w:val="WW-Absatz-Standardschriftart1111111111111"/>
    <w:uiPriority w:val="0"/>
  </w:style>
  <w:style w:type="character" w:customStyle="1" w:styleId="224">
    <w:name w:val="WW-Absatz-Standardschriftart11111111111111"/>
    <w:uiPriority w:val="0"/>
  </w:style>
  <w:style w:type="character" w:customStyle="1" w:styleId="225">
    <w:name w:val="WW8Num22z0"/>
    <w:uiPriority w:val="0"/>
    <w:rPr>
      <w:rFonts w:ascii="Symbol" w:hAnsi="Symbol" w:cs="Symbol"/>
    </w:rPr>
  </w:style>
  <w:style w:type="character" w:customStyle="1" w:styleId="226">
    <w:name w:val="WW8Num23z0"/>
    <w:uiPriority w:val="0"/>
    <w:rPr>
      <w:rFonts w:ascii="Wingdings" w:hAnsi="Wingdings" w:cs="Wingdings"/>
    </w:rPr>
  </w:style>
  <w:style w:type="character" w:customStyle="1" w:styleId="227">
    <w:name w:val="WW8Num26z0"/>
    <w:uiPriority w:val="0"/>
  </w:style>
  <w:style w:type="character" w:customStyle="1" w:styleId="228">
    <w:name w:val="WW8Num27z0"/>
    <w:uiPriority w:val="0"/>
    <w:rPr>
      <w:rFonts w:ascii="Times New Roman" w:hAnsi="Times New Roman" w:cs="Times New Roman"/>
      <w:sz w:val="20"/>
    </w:rPr>
  </w:style>
  <w:style w:type="character" w:customStyle="1" w:styleId="229">
    <w:name w:val="WW8Num27z1"/>
    <w:uiPriority w:val="0"/>
    <w:rPr>
      <w:rFonts w:ascii="Arial" w:hAnsi="Arial" w:cs="Arial"/>
    </w:rPr>
  </w:style>
  <w:style w:type="character" w:customStyle="1" w:styleId="230">
    <w:name w:val="WW8Num28z1"/>
    <w:uiPriority w:val="0"/>
    <w:rPr>
      <w:rFonts w:ascii="Courier New" w:hAnsi="Courier New" w:cs="Courier New"/>
    </w:rPr>
  </w:style>
  <w:style w:type="character" w:customStyle="1" w:styleId="231">
    <w:name w:val="WW-Absatz-Standardschriftart111111111111111"/>
    <w:uiPriority w:val="0"/>
  </w:style>
  <w:style w:type="character" w:customStyle="1" w:styleId="232">
    <w:name w:val="WW-Absatz-Standardschriftart1111111111111111"/>
    <w:uiPriority w:val="0"/>
  </w:style>
  <w:style w:type="character" w:customStyle="1" w:styleId="233">
    <w:name w:val="WW-Absatz-Standardschriftart11111111111111111"/>
    <w:uiPriority w:val="0"/>
  </w:style>
  <w:style w:type="character" w:customStyle="1" w:styleId="234">
    <w:name w:val="WW-Absatz-Standardschriftart111111111111111111"/>
    <w:uiPriority w:val="0"/>
  </w:style>
  <w:style w:type="character" w:customStyle="1" w:styleId="235">
    <w:name w:val="WW8Num5z3"/>
    <w:uiPriority w:val="0"/>
    <w:rPr>
      <w:rFonts w:ascii="Symbol" w:hAnsi="Symbol" w:cs="Symbol"/>
    </w:rPr>
  </w:style>
  <w:style w:type="character" w:customStyle="1" w:styleId="236">
    <w:name w:val="WW8Num19z1"/>
    <w:uiPriority w:val="0"/>
    <w:rPr>
      <w:rFonts w:ascii="Arial" w:hAnsi="Arial" w:eastAsia="Times New Roman" w:cs="Arial"/>
    </w:rPr>
  </w:style>
  <w:style w:type="character" w:customStyle="1" w:styleId="237">
    <w:name w:val="WW8Num22z1"/>
    <w:uiPriority w:val="0"/>
    <w:rPr>
      <w:rFonts w:ascii="Courier New" w:hAnsi="Courier New" w:cs="Courier New"/>
    </w:rPr>
  </w:style>
  <w:style w:type="character" w:customStyle="1" w:styleId="238">
    <w:name w:val="WW8Num22z2"/>
    <w:uiPriority w:val="0"/>
    <w:rPr>
      <w:rFonts w:ascii="Wingdings" w:hAnsi="Wingdings" w:cs="Wingdings"/>
    </w:rPr>
  </w:style>
  <w:style w:type="character" w:customStyle="1" w:styleId="239">
    <w:name w:val="WW8Num28z0"/>
    <w:uiPriority w:val="0"/>
    <w:rPr>
      <w:rFonts w:ascii="Wingdings" w:hAnsi="Wingdings" w:cs="Wingdings"/>
    </w:rPr>
  </w:style>
  <w:style w:type="character" w:customStyle="1" w:styleId="240">
    <w:name w:val="WW8Num28z3"/>
    <w:uiPriority w:val="0"/>
    <w:rPr>
      <w:rFonts w:ascii="Symbol" w:hAnsi="Symbol" w:cs="Symbol"/>
    </w:rPr>
  </w:style>
  <w:style w:type="character" w:customStyle="1" w:styleId="241">
    <w:name w:val="WW8Num34z0"/>
    <w:uiPriority w:val="0"/>
    <w:rPr>
      <w:b/>
    </w:rPr>
  </w:style>
  <w:style w:type="character" w:customStyle="1" w:styleId="242">
    <w:name w:val="WW8Num37z0"/>
    <w:uiPriority w:val="0"/>
    <w:rPr>
      <w:rFonts w:ascii="Times New Roman" w:hAnsi="Times New Roman" w:cs="Times New Roman"/>
      <w:sz w:val="20"/>
    </w:rPr>
  </w:style>
  <w:style w:type="character" w:customStyle="1" w:styleId="243">
    <w:name w:val="WW8Num38z0"/>
    <w:uiPriority w:val="0"/>
    <w:rPr>
      <w:rFonts w:ascii="Times New Roman" w:hAnsi="Times New Roman" w:cs="Times New Roman"/>
      <w:sz w:val="20"/>
    </w:rPr>
  </w:style>
  <w:style w:type="character" w:customStyle="1" w:styleId="244">
    <w:name w:val="WW8Num39z0"/>
    <w:uiPriority w:val="0"/>
    <w:rPr>
      <w:rFonts w:ascii="Wingdings" w:hAnsi="Wingdings" w:cs="Wingdings"/>
    </w:rPr>
  </w:style>
  <w:style w:type="character" w:customStyle="1" w:styleId="245">
    <w:name w:val="WW8Num40z0"/>
    <w:uiPriority w:val="0"/>
    <w:rPr>
      <w:rFonts w:ascii="Symbol" w:hAnsi="Symbol" w:cs="Symbol"/>
    </w:rPr>
  </w:style>
  <w:style w:type="character" w:customStyle="1" w:styleId="246">
    <w:name w:val="WW8Num41z0"/>
    <w:uiPriority w:val="0"/>
    <w:rPr>
      <w:rFonts w:ascii="Times New Roman" w:hAnsi="Times New Roman" w:cs="Times New Roman"/>
      <w:sz w:val="20"/>
    </w:rPr>
  </w:style>
  <w:style w:type="character" w:customStyle="1" w:styleId="247">
    <w:name w:val="WW8Num42z0"/>
    <w:uiPriority w:val="0"/>
    <w:rPr>
      <w:rFonts w:ascii="Wingdings" w:hAnsi="Wingdings" w:cs="Wingdings"/>
    </w:rPr>
  </w:style>
  <w:style w:type="character" w:customStyle="1" w:styleId="248">
    <w:name w:val="WW8Num43z0"/>
    <w:uiPriority w:val="0"/>
    <w:rPr>
      <w:rFonts w:ascii="Times New Roman" w:hAnsi="Times New Roman" w:eastAsia="Times New Roman" w:cs="Times New Roman"/>
    </w:rPr>
  </w:style>
  <w:style w:type="character" w:customStyle="1" w:styleId="249">
    <w:name w:val="WW8Num43z1"/>
    <w:uiPriority w:val="0"/>
    <w:rPr>
      <w:rFonts w:ascii="Courier New" w:hAnsi="Courier New" w:cs="Courier New"/>
    </w:rPr>
  </w:style>
  <w:style w:type="character" w:customStyle="1" w:styleId="250">
    <w:name w:val="WW8Num43z2"/>
    <w:uiPriority w:val="0"/>
    <w:rPr>
      <w:rFonts w:ascii="Wingdings" w:hAnsi="Wingdings" w:cs="Wingdings"/>
    </w:rPr>
  </w:style>
  <w:style w:type="character" w:customStyle="1" w:styleId="251">
    <w:name w:val="WW8Num43z3"/>
    <w:uiPriority w:val="0"/>
    <w:rPr>
      <w:rFonts w:ascii="Symbol" w:hAnsi="Symbol" w:cs="Symbol"/>
    </w:rPr>
  </w:style>
  <w:style w:type="character" w:customStyle="1" w:styleId="252">
    <w:name w:val="Font de paragraf implicit1"/>
    <w:uiPriority w:val="0"/>
  </w:style>
  <w:style w:type="character" w:customStyle="1" w:styleId="253">
    <w:name w:val="alineat1"/>
    <w:uiPriority w:val="0"/>
    <w:rPr>
      <w:b/>
      <w:bCs/>
      <w:color w:val="000000"/>
    </w:rPr>
  </w:style>
  <w:style w:type="character" w:customStyle="1" w:styleId="254">
    <w:name w:val="tpa1"/>
    <w:uiPriority w:val="0"/>
  </w:style>
  <w:style w:type="character" w:customStyle="1" w:styleId="255">
    <w:name w:val="tsp1"/>
    <w:uiPriority w:val="0"/>
  </w:style>
  <w:style w:type="character" w:customStyle="1" w:styleId="256">
    <w:name w:val="sp1"/>
    <w:uiPriority w:val="0"/>
    <w:rPr>
      <w:b/>
      <w:bCs/>
      <w:color w:val="8F0000"/>
    </w:rPr>
  </w:style>
  <w:style w:type="character" w:customStyle="1" w:styleId="257">
    <w:name w:val="tal1"/>
    <w:uiPriority w:val="0"/>
  </w:style>
  <w:style w:type="character" w:customStyle="1" w:styleId="258">
    <w:name w:val=" Caracter"/>
    <w:uiPriority w:val="0"/>
    <w:rPr>
      <w:rFonts w:ascii="MS Sans Serif" w:hAnsi="MS Sans Serif" w:cs="MS Sans Serif"/>
      <w:sz w:val="24"/>
      <w:lang w:val="en-US" w:bidi="ar-SA"/>
    </w:rPr>
  </w:style>
  <w:style w:type="character" w:customStyle="1" w:styleId="259">
    <w:name w:val="WW- Caracter"/>
    <w:uiPriority w:val="0"/>
    <w:rPr>
      <w:sz w:val="16"/>
      <w:szCs w:val="16"/>
      <w:lang w:val="en-GB" w:bidi="ar-SA"/>
    </w:rPr>
  </w:style>
  <w:style w:type="character" w:customStyle="1" w:styleId="260">
    <w:name w:val="tax1"/>
    <w:uiPriority w:val="0"/>
    <w:rPr>
      <w:b/>
      <w:bCs/>
      <w:sz w:val="26"/>
      <w:szCs w:val="26"/>
    </w:rPr>
  </w:style>
  <w:style w:type="character" w:customStyle="1" w:styleId="261">
    <w:name w:val="Numbering Symbols"/>
    <w:uiPriority w:val="0"/>
  </w:style>
  <w:style w:type="character" w:customStyle="1" w:styleId="262">
    <w:name w:val="Bullets"/>
    <w:uiPriority w:val="0"/>
    <w:rPr>
      <w:rFonts w:ascii="OpenSymbol" w:hAnsi="OpenSymbol" w:eastAsia="OpenSymbol" w:cs="OpenSymbol"/>
    </w:rPr>
  </w:style>
  <w:style w:type="character" w:customStyle="1" w:styleId="263">
    <w:name w:val="punct1"/>
    <w:uiPriority w:val="0"/>
    <w:rPr>
      <w:b/>
      <w:bCs/>
      <w:color w:val="000000"/>
    </w:rPr>
  </w:style>
  <w:style w:type="character" w:customStyle="1" w:styleId="264">
    <w:name w:val="Subtitle Char"/>
    <w:uiPriority w:val="0"/>
    <w:rPr>
      <w:rFonts w:ascii="Arial" w:hAnsi="Arial" w:eastAsia="Times New Roman" w:cs="Arial"/>
      <w:b/>
      <w:sz w:val="24"/>
    </w:rPr>
  </w:style>
  <w:style w:type="character" w:customStyle="1" w:styleId="265">
    <w:name w:val="Font Style167"/>
    <w:uiPriority w:val="0"/>
    <w:rPr>
      <w:rFonts w:ascii="Times New Roman" w:hAnsi="Times New Roman" w:cs="Times New Roman"/>
      <w:b/>
      <w:bCs/>
      <w:color w:val="000000"/>
      <w:sz w:val="22"/>
      <w:szCs w:val="22"/>
    </w:rPr>
  </w:style>
  <w:style w:type="character" w:customStyle="1" w:styleId="266">
    <w:name w:val="Font Style168"/>
    <w:uiPriority w:val="0"/>
    <w:rPr>
      <w:rFonts w:ascii="Times New Roman" w:hAnsi="Times New Roman" w:cs="Times New Roman"/>
      <w:color w:val="000000"/>
      <w:sz w:val="22"/>
      <w:szCs w:val="22"/>
    </w:rPr>
  </w:style>
  <w:style w:type="character" w:customStyle="1" w:styleId="267">
    <w:name w:val="Body Text Indent 2 Char"/>
    <w:uiPriority w:val="0"/>
    <w:rPr>
      <w:rFonts w:ascii="Times New Roman" w:hAnsi="Times New Roman" w:eastAsia="Times New Roman" w:cs="Times New Roman"/>
      <w:sz w:val="24"/>
      <w:szCs w:val="24"/>
      <w:lang w:val="ro-RO"/>
    </w:rPr>
  </w:style>
  <w:style w:type="character" w:customStyle="1" w:styleId="268">
    <w:name w:val="Font Style75"/>
    <w:uiPriority w:val="0"/>
    <w:rPr>
      <w:rFonts w:ascii="Times New Roman" w:hAnsi="Times New Roman" w:cs="Times New Roman"/>
      <w:color w:val="000000"/>
      <w:sz w:val="16"/>
      <w:szCs w:val="16"/>
    </w:rPr>
  </w:style>
  <w:style w:type="character" w:customStyle="1" w:styleId="269">
    <w:name w:val="Font Style76"/>
    <w:uiPriority w:val="0"/>
    <w:rPr>
      <w:rFonts w:ascii="Segoe UI" w:hAnsi="Segoe UI" w:cs="Segoe UI"/>
      <w:b/>
      <w:bCs/>
      <w:color w:val="000000"/>
      <w:sz w:val="18"/>
      <w:szCs w:val="18"/>
    </w:rPr>
  </w:style>
  <w:style w:type="character" w:customStyle="1" w:styleId="270">
    <w:name w:val="Font Style77"/>
    <w:uiPriority w:val="0"/>
    <w:rPr>
      <w:rFonts w:ascii="Segoe UI" w:hAnsi="Segoe UI" w:cs="Segoe UI"/>
      <w:color w:val="000000"/>
      <w:sz w:val="18"/>
      <w:szCs w:val="18"/>
    </w:rPr>
  </w:style>
  <w:style w:type="character" w:customStyle="1" w:styleId="271">
    <w:name w:val="Font Style82"/>
    <w:uiPriority w:val="0"/>
    <w:rPr>
      <w:rFonts w:ascii="Segoe UI" w:hAnsi="Segoe UI" w:cs="Segoe UI"/>
      <w:color w:val="000000"/>
      <w:sz w:val="20"/>
      <w:szCs w:val="20"/>
    </w:rPr>
  </w:style>
  <w:style w:type="character" w:customStyle="1" w:styleId="272">
    <w:name w:val="Comment Text Char"/>
    <w:uiPriority w:val="0"/>
    <w:rPr>
      <w:lang w:val="ro-RO"/>
    </w:rPr>
  </w:style>
  <w:style w:type="character" w:customStyle="1" w:styleId="273">
    <w:name w:val="Comment Subject Char"/>
    <w:uiPriority w:val="0"/>
    <w:rPr>
      <w:b/>
      <w:bCs/>
      <w:lang w:val="ro-RO"/>
    </w:rPr>
  </w:style>
  <w:style w:type="character" w:customStyle="1" w:styleId="274">
    <w:name w:val="Char Char1"/>
    <w:uiPriority w:val="0"/>
    <w:rPr>
      <w:sz w:val="16"/>
      <w:szCs w:val="16"/>
      <w:lang w:val="en-US" w:bidi="ar-SA"/>
    </w:rPr>
  </w:style>
  <w:style w:type="character" w:customStyle="1" w:styleId="275">
    <w:name w:val="Caracter"/>
    <w:uiPriority w:val="0"/>
    <w:rPr>
      <w:rFonts w:ascii="MS Sans Serif" w:hAnsi="MS Sans Serif" w:cs="MS Sans Serif"/>
      <w:sz w:val="24"/>
      <w:lang w:val="en-US" w:bidi="ar-SA"/>
    </w:rPr>
  </w:style>
  <w:style w:type="paragraph" w:customStyle="1" w:styleId="276">
    <w:name w:val="Heading"/>
    <w:basedOn w:val="1"/>
    <w:next w:val="9"/>
    <w:uiPriority w:val="0"/>
    <w:pPr>
      <w:spacing w:line="240" w:lineRule="auto"/>
      <w:jc w:val="center"/>
    </w:pPr>
    <w:rPr>
      <w:rFonts w:ascii="Times New Roman" w:hAnsi="Times New Roman" w:eastAsia="Times New Roman" w:cs="Times New Roman"/>
      <w:b/>
      <w:sz w:val="28"/>
      <w:lang w:val="en-GB"/>
    </w:rPr>
  </w:style>
  <w:style w:type="paragraph" w:customStyle="1" w:styleId="277">
    <w:name w:val="Index"/>
    <w:basedOn w:val="1"/>
    <w:uiPriority w:val="0"/>
    <w:pPr>
      <w:suppressLineNumbers/>
      <w:suppressAutoHyphens/>
      <w:spacing w:line="240" w:lineRule="auto"/>
    </w:pPr>
    <w:rPr>
      <w:rFonts w:ascii="Times New Roman" w:hAnsi="Times New Roman" w:eastAsia="Times New Roman" w:cs="Tahoma"/>
      <w:sz w:val="24"/>
      <w:szCs w:val="24"/>
    </w:rPr>
  </w:style>
  <w:style w:type="paragraph" w:customStyle="1" w:styleId="278">
    <w:name w:val="Header and Footer"/>
    <w:basedOn w:val="1"/>
    <w:uiPriority w:val="0"/>
    <w:pPr>
      <w:suppressLineNumbers/>
      <w:tabs>
        <w:tab w:val="center" w:pos="4986"/>
        <w:tab w:val="right" w:pos="9972"/>
      </w:tabs>
    </w:pPr>
  </w:style>
  <w:style w:type="paragraph" w:customStyle="1" w:styleId="279">
    <w:name w:val="Default Text:1"/>
    <w:basedOn w:val="1"/>
    <w:uiPriority w:val="0"/>
    <w:pPr>
      <w:widowControl w:val="0"/>
      <w:overflowPunct w:val="0"/>
      <w:autoSpaceDE w:val="0"/>
      <w:spacing w:line="360" w:lineRule="atLeast"/>
      <w:jc w:val="both"/>
      <w:textAlignment w:val="baseline"/>
    </w:pPr>
    <w:rPr>
      <w:rFonts w:cs="Times New Roman"/>
      <w:sz w:val="24"/>
      <w:szCs w:val="24"/>
    </w:rPr>
  </w:style>
  <w:style w:type="paragraph" w:customStyle="1" w:styleId="280">
    <w:name w:val="Text în Balon1"/>
    <w:basedOn w:val="1"/>
    <w:uiPriority w:val="0"/>
    <w:pPr>
      <w:spacing w:line="240" w:lineRule="auto"/>
    </w:pPr>
    <w:rPr>
      <w:rFonts w:ascii="Tahoma" w:hAnsi="Tahoma" w:eastAsia="Times New Roman" w:cs="Tahoma"/>
      <w:sz w:val="16"/>
      <w:szCs w:val="16"/>
    </w:rPr>
  </w:style>
  <w:style w:type="paragraph" w:customStyle="1" w:styleId="281">
    <w:name w:val="Body Text 21"/>
    <w:basedOn w:val="1"/>
    <w:uiPriority w:val="0"/>
    <w:pPr>
      <w:widowControl w:val="0"/>
      <w:overflowPunct w:val="0"/>
      <w:autoSpaceDE w:val="0"/>
      <w:spacing w:line="240" w:lineRule="auto"/>
      <w:textAlignment w:val="baseline"/>
    </w:pPr>
    <w:rPr>
      <w:rFonts w:ascii="Times New Roman" w:hAnsi="Times New Roman" w:eastAsia="Times New Roman" w:cs="Times New Roman"/>
      <w:sz w:val="24"/>
      <w:lang w:val="en-US"/>
    </w:rPr>
  </w:style>
  <w:style w:type="paragraph" w:customStyle="1" w:styleId="282">
    <w:name w:val="Default Text"/>
    <w:basedOn w:val="1"/>
    <w:uiPriority w:val="0"/>
    <w:pPr>
      <w:overflowPunct w:val="0"/>
      <w:autoSpaceDE w:val="0"/>
      <w:spacing w:line="240" w:lineRule="auto"/>
    </w:pPr>
    <w:rPr>
      <w:rFonts w:ascii="Times New Roman" w:hAnsi="Times New Roman" w:eastAsia="Times New Roman" w:cs="Times New Roman"/>
      <w:sz w:val="24"/>
    </w:rPr>
  </w:style>
  <w:style w:type="paragraph" w:customStyle="1" w:styleId="283">
    <w:name w:val=" Char Char3"/>
    <w:basedOn w:val="1"/>
    <w:uiPriority w:val="0"/>
    <w:pPr>
      <w:spacing w:line="240" w:lineRule="auto"/>
    </w:pPr>
    <w:rPr>
      <w:rFonts w:eastAsia="Times New Roman" w:cs="Times New Roman"/>
      <w:sz w:val="24"/>
      <w:szCs w:val="24"/>
      <w:lang w:val="pl-PL"/>
    </w:rPr>
  </w:style>
  <w:style w:type="paragraph" w:styleId="284">
    <w:name w:val="List Paragraph"/>
    <w:basedOn w:val="1"/>
    <w:qFormat/>
    <w:uiPriority w:val="0"/>
    <w:pPr>
      <w:widowControl w:val="0"/>
      <w:autoSpaceDE w:val="0"/>
      <w:spacing w:line="240" w:lineRule="auto"/>
      <w:ind w:left="720" w:right="0" w:firstLine="0"/>
    </w:pPr>
    <w:rPr>
      <w:rFonts w:ascii="Times New Roman" w:hAnsi="Times New Roman" w:cs="Times New Roman"/>
      <w:lang w:val="en-US"/>
    </w:rPr>
  </w:style>
  <w:style w:type="paragraph" w:customStyle="1" w:styleId="285">
    <w:name w:val="Default Text:2"/>
    <w:basedOn w:val="1"/>
    <w:uiPriority w:val="0"/>
    <w:pPr>
      <w:spacing w:line="240" w:lineRule="auto"/>
    </w:pPr>
    <w:rPr>
      <w:rFonts w:ascii="Times New Roman" w:hAnsi="Times New Roman" w:eastAsia="Times New Roman" w:cs="Times New Roman"/>
      <w:sz w:val="24"/>
      <w:lang w:val="en-US"/>
    </w:rPr>
  </w:style>
  <w:style w:type="paragraph" w:customStyle="1" w:styleId="286">
    <w:name w:val="spip"/>
    <w:basedOn w:val="1"/>
    <w:uiPriority w:val="0"/>
    <w:pPr>
      <w:spacing w:before="280" w:after="280" w:line="240" w:lineRule="auto"/>
    </w:pPr>
    <w:rPr>
      <w:rFonts w:ascii="Times New Roman" w:hAnsi="Times New Roman" w:eastAsia="Times New Roman" w:cs="Times New Roman"/>
      <w:sz w:val="24"/>
      <w:szCs w:val="24"/>
      <w:lang w:val="en-US"/>
    </w:rPr>
  </w:style>
  <w:style w:type="paragraph" w:customStyle="1" w:styleId="287">
    <w:name w:val="Anexa"/>
    <w:basedOn w:val="279"/>
    <w:next w:val="279"/>
    <w:uiPriority w:val="0"/>
    <w:pPr>
      <w:widowControl/>
      <w:overflowPunct/>
      <w:autoSpaceDE/>
      <w:spacing w:line="240" w:lineRule="auto"/>
      <w:jc w:val="left"/>
      <w:textAlignment w:val="auto"/>
    </w:pPr>
    <w:rPr>
      <w:rFonts w:ascii="MS Sans Serif" w:hAnsi="MS Sans Serif" w:eastAsia="Times New Roman" w:cs="MS Sans Serif"/>
      <w:lang w:val="ro-RO"/>
    </w:rPr>
  </w:style>
  <w:style w:type="paragraph" w:customStyle="1" w:styleId="288">
    <w:name w:val="Table Text"/>
    <w:basedOn w:val="1"/>
    <w:uiPriority w:val="0"/>
    <w:pPr>
      <w:tabs>
        <w:tab w:val="decimal" w:pos="0"/>
      </w:tabs>
      <w:suppressAutoHyphens/>
      <w:spacing w:line="240" w:lineRule="auto"/>
    </w:pPr>
    <w:rPr>
      <w:rFonts w:ascii="Times New Roman" w:hAnsi="Times New Roman" w:eastAsia="Times New Roman" w:cs="Times New Roman"/>
      <w:sz w:val="24"/>
      <w:lang w:val="en-US"/>
    </w:rPr>
  </w:style>
  <w:style w:type="paragraph" w:customStyle="1" w:styleId="289">
    <w:name w:val="Anexa nr."/>
    <w:basedOn w:val="2"/>
    <w:uiPriority w:val="0"/>
    <w:pPr>
      <w:numPr>
        <w:ilvl w:val="0"/>
        <w:numId w:val="0"/>
      </w:numPr>
      <w:tabs>
        <w:tab w:val="left" w:pos="1440"/>
        <w:tab w:val="clear" w:pos="0"/>
      </w:tabs>
      <w:spacing w:line="240" w:lineRule="exact"/>
      <w:ind w:left="0" w:right="0" w:firstLine="0"/>
      <w:jc w:val="left"/>
    </w:pPr>
    <w:rPr>
      <w:lang w:val="ro-RO"/>
    </w:rPr>
  </w:style>
  <w:style w:type="paragraph" w:customStyle="1" w:styleId="290">
    <w:name w:val=" Char"/>
    <w:basedOn w:val="1"/>
    <w:uiPriority w:val="0"/>
    <w:pPr>
      <w:spacing w:line="240" w:lineRule="auto"/>
    </w:pPr>
    <w:rPr>
      <w:rFonts w:eastAsia="Times New Roman" w:cs="Times New Roman"/>
      <w:sz w:val="24"/>
      <w:szCs w:val="24"/>
      <w:lang w:val="pl-PL"/>
    </w:rPr>
  </w:style>
  <w:style w:type="paragraph" w:customStyle="1" w:styleId="291">
    <w:name w:val=" Char Char1 Char Char"/>
    <w:basedOn w:val="1"/>
    <w:uiPriority w:val="0"/>
    <w:pPr>
      <w:spacing w:line="240" w:lineRule="auto"/>
    </w:pPr>
    <w:rPr>
      <w:rFonts w:eastAsia="Times New Roman" w:cs="Times New Roman"/>
      <w:sz w:val="24"/>
      <w:szCs w:val="24"/>
      <w:lang w:val="pl-PL"/>
    </w:rPr>
  </w:style>
  <w:style w:type="paragraph" w:customStyle="1" w:styleId="292">
    <w:name w:val=" Char Char1 Char Char Char Char Char Char Char Char Char Char Char Char Char Char"/>
    <w:basedOn w:val="1"/>
    <w:uiPriority w:val="0"/>
    <w:pPr>
      <w:spacing w:line="240" w:lineRule="auto"/>
    </w:pPr>
    <w:rPr>
      <w:rFonts w:eastAsia="Times New Roman" w:cs="Times New Roman"/>
      <w:sz w:val="24"/>
      <w:szCs w:val="24"/>
      <w:lang w:val="pl-PL"/>
    </w:rPr>
  </w:style>
  <w:style w:type="paragraph" w:customStyle="1" w:styleId="293">
    <w:name w:val="WW-Heading"/>
    <w:basedOn w:val="1"/>
    <w:next w:val="9"/>
    <w:uiPriority w:val="0"/>
    <w:pPr>
      <w:keepNext/>
      <w:suppressAutoHyphens/>
      <w:spacing w:before="240" w:after="120" w:line="240" w:lineRule="auto"/>
    </w:pPr>
    <w:rPr>
      <w:rFonts w:eastAsia="MS Mincho" w:cs="Tahoma"/>
      <w:sz w:val="28"/>
      <w:szCs w:val="28"/>
    </w:rPr>
  </w:style>
  <w:style w:type="paragraph" w:customStyle="1" w:styleId="294">
    <w:name w:val="Caption2"/>
    <w:basedOn w:val="1"/>
    <w:uiPriority w:val="0"/>
    <w:pPr>
      <w:suppressLineNumbers/>
      <w:suppressAutoHyphens/>
      <w:spacing w:before="120" w:after="120" w:line="240" w:lineRule="auto"/>
    </w:pPr>
    <w:rPr>
      <w:rFonts w:ascii="Times New Roman" w:hAnsi="Times New Roman" w:eastAsia="Times New Roman" w:cs="Tahoma"/>
      <w:i/>
      <w:iCs/>
      <w:sz w:val="24"/>
      <w:szCs w:val="24"/>
      <w:lang w:val="en-US"/>
    </w:rPr>
  </w:style>
  <w:style w:type="paragraph" w:customStyle="1" w:styleId="295">
    <w:name w:val=" Caracter Char"/>
    <w:basedOn w:val="1"/>
    <w:uiPriority w:val="0"/>
    <w:pPr>
      <w:suppressAutoHyphens/>
      <w:spacing w:before="0" w:after="160" w:line="240" w:lineRule="exact"/>
    </w:pPr>
    <w:rPr>
      <w:rFonts w:ascii="Verdana" w:hAnsi="Verdana" w:eastAsia="Times New Roman" w:cs="Verdana"/>
      <w:lang w:val="en-US"/>
    </w:rPr>
  </w:style>
  <w:style w:type="paragraph" w:customStyle="1" w:styleId="296">
    <w:name w:val="Articol"/>
    <w:basedOn w:val="1"/>
    <w:uiPriority w:val="0"/>
    <w:pPr>
      <w:widowControl w:val="0"/>
      <w:numPr>
        <w:ilvl w:val="0"/>
        <w:numId w:val="2"/>
      </w:numPr>
      <w:tabs>
        <w:tab w:val="left" w:pos="426"/>
        <w:tab w:val="left" w:pos="851"/>
      </w:tabs>
      <w:suppressAutoHyphens/>
      <w:spacing w:before="120" w:after="120" w:line="100" w:lineRule="atLeast"/>
      <w:jc w:val="both"/>
    </w:pPr>
    <w:rPr>
      <w:rFonts w:ascii="Times New Roman" w:hAnsi="Times New Roman" w:eastAsia="Swiss911 XCm BT" w:cs="Times New Roman"/>
      <w:kern w:val="2"/>
      <w:sz w:val="24"/>
      <w:lang w:val="en-US"/>
    </w:rPr>
  </w:style>
  <w:style w:type="paragraph" w:customStyle="1" w:styleId="297">
    <w:name w:val="Body Text 31"/>
    <w:basedOn w:val="1"/>
    <w:uiPriority w:val="0"/>
    <w:pPr>
      <w:suppressAutoHyphens/>
      <w:spacing w:before="0" w:after="120" w:line="240" w:lineRule="auto"/>
    </w:pPr>
    <w:rPr>
      <w:rFonts w:ascii="Times New Roman" w:hAnsi="Times New Roman" w:eastAsia="Times New Roman" w:cs="Times New Roman"/>
      <w:sz w:val="16"/>
      <w:szCs w:val="16"/>
      <w:lang w:val="en-US"/>
    </w:rPr>
  </w:style>
  <w:style w:type="paragraph" w:customStyle="1" w:styleId="298">
    <w:name w:val="HTML Preformatted1"/>
    <w:basedOn w:val="1"/>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40" w:lineRule="auto"/>
    </w:pPr>
    <w:rPr>
      <w:rFonts w:ascii="Courier New" w:hAnsi="Courier New" w:eastAsia="Times New Roman" w:cs="Courier New"/>
      <w:lang w:val="en-US"/>
    </w:rPr>
  </w:style>
  <w:style w:type="paragraph" w:customStyle="1" w:styleId="299">
    <w:name w:val="Caption1"/>
    <w:basedOn w:val="1"/>
    <w:uiPriority w:val="0"/>
    <w:pPr>
      <w:suppressLineNumbers/>
      <w:suppressAutoHyphens/>
      <w:spacing w:before="120" w:after="120" w:line="240" w:lineRule="auto"/>
    </w:pPr>
    <w:rPr>
      <w:rFonts w:ascii="Times New Roman" w:hAnsi="Times New Roman" w:eastAsia="Times New Roman" w:cs="Tahoma"/>
      <w:i/>
      <w:iCs/>
      <w:sz w:val="24"/>
      <w:szCs w:val="24"/>
    </w:rPr>
  </w:style>
  <w:style w:type="paragraph" w:customStyle="1" w:styleId="300">
    <w:name w:val="Corp text 21"/>
    <w:basedOn w:val="1"/>
    <w:uiPriority w:val="0"/>
    <w:pPr>
      <w:suppressAutoHyphens/>
      <w:spacing w:before="0" w:after="120" w:line="480" w:lineRule="auto"/>
    </w:pPr>
    <w:rPr>
      <w:rFonts w:ascii="Times New Roman" w:hAnsi="Times New Roman" w:eastAsia="Times New Roman" w:cs="Times New Roman"/>
      <w:sz w:val="24"/>
      <w:szCs w:val="24"/>
    </w:rPr>
  </w:style>
  <w:style w:type="paragraph" w:customStyle="1" w:styleId="301">
    <w:name w:val="Text simplu1"/>
    <w:basedOn w:val="1"/>
    <w:uiPriority w:val="0"/>
    <w:pPr>
      <w:suppressAutoHyphens/>
      <w:spacing w:line="240" w:lineRule="auto"/>
    </w:pPr>
    <w:rPr>
      <w:rFonts w:ascii="Courier New" w:hAnsi="Courier New" w:eastAsia="Times New Roman" w:cs="Courier New"/>
      <w:lang w:val="en-US"/>
    </w:rPr>
  </w:style>
  <w:style w:type="paragraph" w:customStyle="1" w:styleId="302">
    <w:name w:val="Indent corp text 21"/>
    <w:basedOn w:val="1"/>
    <w:uiPriority w:val="0"/>
    <w:pPr>
      <w:tabs>
        <w:tab w:val="left" w:pos="540"/>
      </w:tabs>
      <w:suppressAutoHyphens/>
      <w:spacing w:line="240" w:lineRule="auto"/>
      <w:ind w:left="0" w:right="0" w:firstLine="540"/>
    </w:pPr>
    <w:rPr>
      <w:rFonts w:ascii="Times New Roman" w:hAnsi="Times New Roman" w:eastAsia="Times New Roman" w:cs="Times New Roman"/>
      <w:lang w:val="fr-FR"/>
    </w:rPr>
  </w:style>
  <w:style w:type="paragraph" w:customStyle="1" w:styleId="303">
    <w:name w:val="Corp text 31"/>
    <w:basedOn w:val="1"/>
    <w:uiPriority w:val="0"/>
    <w:pPr>
      <w:suppressAutoHyphens/>
      <w:spacing w:line="240" w:lineRule="auto"/>
      <w:jc w:val="both"/>
    </w:pPr>
    <w:rPr>
      <w:rFonts w:eastAsia="Times New Roman"/>
    </w:rPr>
  </w:style>
  <w:style w:type="paragraph" w:customStyle="1" w:styleId="304">
    <w:name w:val="normal_tableau"/>
    <w:basedOn w:val="1"/>
    <w:uiPriority w:val="0"/>
    <w:pPr>
      <w:suppressAutoHyphens/>
      <w:spacing w:before="120" w:after="120" w:line="240" w:lineRule="auto"/>
      <w:jc w:val="both"/>
    </w:pPr>
    <w:rPr>
      <w:rFonts w:ascii="Optima" w:hAnsi="Optima" w:eastAsia="Times New Roman" w:cs="Times New Roman"/>
      <w:sz w:val="22"/>
      <w:lang w:val="en-GB"/>
    </w:rPr>
  </w:style>
  <w:style w:type="paragraph" w:customStyle="1" w:styleId="305">
    <w:name w:val=" Char Char Caracter Char Char Char"/>
    <w:basedOn w:val="1"/>
    <w:uiPriority w:val="0"/>
    <w:pPr>
      <w:suppressAutoHyphens/>
      <w:spacing w:line="240" w:lineRule="auto"/>
    </w:pPr>
    <w:rPr>
      <w:rFonts w:ascii="Times New Roman" w:hAnsi="Times New Roman" w:eastAsia="Times New Roman" w:cs="Times New Roman"/>
      <w:sz w:val="24"/>
      <w:szCs w:val="24"/>
      <w:lang w:val="pl-PL"/>
    </w:rPr>
  </w:style>
  <w:style w:type="paragraph" w:customStyle="1" w:styleId="306">
    <w:name w:val="Indent corp text 31"/>
    <w:basedOn w:val="1"/>
    <w:uiPriority w:val="0"/>
    <w:pPr>
      <w:suppressAutoHyphens/>
      <w:spacing w:before="0" w:after="120" w:line="240" w:lineRule="auto"/>
      <w:ind w:left="283" w:right="0" w:firstLine="0"/>
    </w:pPr>
    <w:rPr>
      <w:rFonts w:ascii="Times New Roman" w:hAnsi="Times New Roman" w:eastAsia="Times New Roman" w:cs="Times New Roman"/>
      <w:sz w:val="16"/>
      <w:szCs w:val="16"/>
      <w:lang w:val="en-GB"/>
    </w:rPr>
  </w:style>
  <w:style w:type="paragraph" w:customStyle="1" w:styleId="307">
    <w:name w:val="Standaard1"/>
    <w:uiPriority w:val="0"/>
    <w:pPr>
      <w:widowControl w:val="0"/>
      <w:suppressAutoHyphens/>
    </w:pPr>
    <w:rPr>
      <w:rFonts w:eastAsia="Arial"/>
      <w:kern w:val="2"/>
      <w:lang w:val="nl-NL" w:eastAsia="zh-CN" w:bidi="ar-SA"/>
    </w:rPr>
  </w:style>
  <w:style w:type="paragraph" w:customStyle="1" w:styleId="308">
    <w:name w:val="Table Contents"/>
    <w:basedOn w:val="1"/>
    <w:uiPriority w:val="0"/>
    <w:pPr>
      <w:suppressLineNumbers/>
      <w:suppressAutoHyphens/>
      <w:spacing w:line="240" w:lineRule="auto"/>
    </w:pPr>
    <w:rPr>
      <w:rFonts w:ascii="Times New Roman" w:hAnsi="Times New Roman" w:eastAsia="Times New Roman" w:cs="Times New Roman"/>
      <w:sz w:val="24"/>
      <w:szCs w:val="24"/>
    </w:rPr>
  </w:style>
  <w:style w:type="paragraph" w:customStyle="1" w:styleId="309">
    <w:name w:val="Table Heading"/>
    <w:basedOn w:val="308"/>
    <w:uiPriority w:val="0"/>
    <w:pPr>
      <w:jc w:val="center"/>
    </w:pPr>
    <w:rPr>
      <w:b/>
      <w:bCs/>
    </w:rPr>
  </w:style>
  <w:style w:type="paragraph" w:customStyle="1" w:styleId="310">
    <w:name w:val="Frame contents"/>
    <w:basedOn w:val="9"/>
    <w:uiPriority w:val="0"/>
    <w:pPr>
      <w:suppressAutoHyphens/>
      <w:overflowPunct w:val="0"/>
      <w:autoSpaceDE w:val="0"/>
      <w:spacing w:before="0" w:after="0"/>
      <w:jc w:val="center"/>
      <w:textAlignment w:val="baseline"/>
    </w:pPr>
    <w:rPr>
      <w:b/>
      <w:bCs/>
      <w:kern w:val="2"/>
      <w:sz w:val="28"/>
      <w:szCs w:val="20"/>
    </w:rPr>
  </w:style>
  <w:style w:type="paragraph" w:customStyle="1" w:styleId="311">
    <w:name w:val="xl63"/>
    <w:basedOn w:val="1"/>
    <w:uiPriority w:val="0"/>
    <w:pPr>
      <w:spacing w:before="280" w:after="280" w:line="240" w:lineRule="auto"/>
      <w:textAlignment w:val="center"/>
    </w:pPr>
    <w:rPr>
      <w:rFonts w:ascii="Times New Roman" w:hAnsi="Times New Roman" w:eastAsia="Times New Roman" w:cs="Times New Roman"/>
      <w:sz w:val="24"/>
      <w:szCs w:val="24"/>
      <w:lang w:val="en-US"/>
    </w:rPr>
  </w:style>
  <w:style w:type="paragraph" w:customStyle="1" w:styleId="312">
    <w:name w:val="xl64"/>
    <w:basedOn w:val="1"/>
    <w:uiPriority w:val="0"/>
    <w:pPr>
      <w:spacing w:before="280" w:after="280" w:line="240" w:lineRule="auto"/>
      <w:textAlignment w:val="center"/>
    </w:pPr>
    <w:rPr>
      <w:rFonts w:eastAsia="Times New Roman"/>
      <w:lang w:val="en-US"/>
    </w:rPr>
  </w:style>
  <w:style w:type="paragraph" w:customStyle="1" w:styleId="313">
    <w:name w:val="xl65"/>
    <w:basedOn w:val="1"/>
    <w:uiPriority w:val="0"/>
    <w:pPr>
      <w:spacing w:before="280" w:after="280" w:line="240" w:lineRule="auto"/>
      <w:jc w:val="center"/>
      <w:textAlignment w:val="center"/>
    </w:pPr>
    <w:rPr>
      <w:rFonts w:eastAsia="Times New Roman"/>
      <w:lang w:val="en-US"/>
    </w:rPr>
  </w:style>
  <w:style w:type="paragraph" w:customStyle="1" w:styleId="314">
    <w:name w:val="xl66"/>
    <w:basedOn w:val="1"/>
    <w:uiPriority w:val="0"/>
    <w:pPr>
      <w:spacing w:before="280" w:after="280" w:line="240" w:lineRule="auto"/>
      <w:jc w:val="center"/>
      <w:textAlignment w:val="center"/>
    </w:pPr>
    <w:rPr>
      <w:rFonts w:eastAsia="Times New Roman"/>
      <w:b/>
      <w:bCs/>
      <w:sz w:val="24"/>
      <w:szCs w:val="24"/>
      <w:lang w:val="en-US"/>
    </w:rPr>
  </w:style>
  <w:style w:type="paragraph" w:customStyle="1" w:styleId="315">
    <w:name w:val="xl67"/>
    <w:basedOn w:val="1"/>
    <w:uiPriority w:val="0"/>
    <w:pPr>
      <w:spacing w:before="280" w:after="280" w:line="240" w:lineRule="auto"/>
      <w:textAlignment w:val="center"/>
    </w:pPr>
    <w:rPr>
      <w:rFonts w:eastAsia="Times New Roman"/>
      <w:lang w:val="en-US"/>
    </w:rPr>
  </w:style>
  <w:style w:type="paragraph" w:customStyle="1" w:styleId="316">
    <w:name w:val="xl68"/>
    <w:basedOn w:val="1"/>
    <w:uiPriority w:val="0"/>
    <w:pPr>
      <w:pBdr>
        <w:top w:val="single" w:color="000000" w:sz="4" w:space="0"/>
        <w:left w:val="single" w:color="000000" w:sz="4" w:space="0"/>
        <w:bottom w:val="single" w:color="000000" w:sz="4" w:space="0"/>
        <w:right w:val="single" w:color="000000" w:sz="4" w:space="0"/>
      </w:pBdr>
      <w:spacing w:before="280" w:after="280" w:line="240" w:lineRule="auto"/>
      <w:jc w:val="center"/>
      <w:textAlignment w:val="center"/>
    </w:pPr>
    <w:rPr>
      <w:rFonts w:eastAsia="Times New Roman"/>
      <w:b/>
      <w:bCs/>
      <w:lang w:val="en-US"/>
    </w:rPr>
  </w:style>
  <w:style w:type="paragraph" w:customStyle="1" w:styleId="317">
    <w:name w:val="xl69"/>
    <w:basedOn w:val="1"/>
    <w:uiPriority w:val="0"/>
    <w:pPr>
      <w:pBdr>
        <w:top w:val="single" w:color="000000" w:sz="4" w:space="0"/>
        <w:left w:val="single" w:color="000000" w:sz="4" w:space="0"/>
        <w:bottom w:val="single" w:color="000000" w:sz="4" w:space="0"/>
        <w:right w:val="single" w:color="000000" w:sz="4" w:space="0"/>
      </w:pBdr>
      <w:spacing w:before="280" w:after="280" w:line="240" w:lineRule="auto"/>
      <w:jc w:val="center"/>
      <w:textAlignment w:val="center"/>
    </w:pPr>
    <w:rPr>
      <w:rFonts w:eastAsia="Times New Roman"/>
      <w:b/>
      <w:bCs/>
      <w:lang w:val="en-US"/>
    </w:rPr>
  </w:style>
  <w:style w:type="paragraph" w:customStyle="1" w:styleId="318">
    <w:name w:val="xl70"/>
    <w:basedOn w:val="1"/>
    <w:uiPriority w:val="0"/>
    <w:pPr>
      <w:pBdr>
        <w:top w:val="single" w:color="000000" w:sz="4" w:space="0"/>
        <w:left w:val="single" w:color="000000" w:sz="4" w:space="0"/>
        <w:bottom w:val="single" w:color="000000" w:sz="4" w:space="0"/>
        <w:right w:val="single" w:color="000000" w:sz="4" w:space="0"/>
      </w:pBdr>
      <w:spacing w:before="280" w:after="280" w:line="240" w:lineRule="auto"/>
      <w:textAlignment w:val="center"/>
    </w:pPr>
    <w:rPr>
      <w:rFonts w:eastAsia="Times New Roman"/>
      <w:lang w:val="en-US"/>
    </w:rPr>
  </w:style>
  <w:style w:type="paragraph" w:customStyle="1" w:styleId="319">
    <w:name w:val="xl71"/>
    <w:basedOn w:val="1"/>
    <w:uiPriority w:val="0"/>
    <w:pPr>
      <w:pBdr>
        <w:top w:val="single" w:color="000000" w:sz="4" w:space="0"/>
        <w:left w:val="single" w:color="000000" w:sz="4" w:space="0"/>
        <w:bottom w:val="single" w:color="000000" w:sz="4" w:space="0"/>
        <w:right w:val="single" w:color="000000" w:sz="4" w:space="0"/>
      </w:pBdr>
      <w:spacing w:before="280" w:after="280" w:line="240" w:lineRule="auto"/>
      <w:textAlignment w:val="center"/>
    </w:pPr>
    <w:rPr>
      <w:rFonts w:eastAsia="Times New Roman"/>
      <w:lang w:val="en-US"/>
    </w:rPr>
  </w:style>
  <w:style w:type="paragraph" w:customStyle="1" w:styleId="320">
    <w:name w:val="xl72"/>
    <w:basedOn w:val="1"/>
    <w:uiPriority w:val="0"/>
    <w:pPr>
      <w:pBdr>
        <w:top w:val="single" w:color="000000" w:sz="4" w:space="0"/>
        <w:left w:val="single" w:color="000000" w:sz="4" w:space="0"/>
        <w:bottom w:val="single" w:color="000000" w:sz="4" w:space="0"/>
        <w:right w:val="single" w:color="000000" w:sz="4" w:space="0"/>
      </w:pBdr>
      <w:spacing w:before="280" w:after="280" w:line="240" w:lineRule="auto"/>
      <w:jc w:val="center"/>
      <w:textAlignment w:val="center"/>
    </w:pPr>
    <w:rPr>
      <w:rFonts w:eastAsia="Times New Roman"/>
      <w:lang w:val="en-US"/>
    </w:rPr>
  </w:style>
  <w:style w:type="paragraph" w:customStyle="1" w:styleId="321">
    <w:name w:val="xl73"/>
    <w:basedOn w:val="1"/>
    <w:uiPriority w:val="0"/>
    <w:pPr>
      <w:spacing w:before="280" w:after="280" w:line="240" w:lineRule="auto"/>
      <w:jc w:val="center"/>
      <w:textAlignment w:val="center"/>
    </w:pPr>
    <w:rPr>
      <w:rFonts w:eastAsia="Times New Roman"/>
      <w:b/>
      <w:bCs/>
      <w:sz w:val="32"/>
      <w:szCs w:val="32"/>
      <w:lang w:val="en-US"/>
    </w:rPr>
  </w:style>
  <w:style w:type="paragraph" w:customStyle="1" w:styleId="322">
    <w:name w:val="xl74"/>
    <w:basedOn w:val="1"/>
    <w:uiPriority w:val="0"/>
    <w:pPr>
      <w:spacing w:before="280" w:after="280" w:line="240" w:lineRule="auto"/>
      <w:jc w:val="center"/>
      <w:textAlignment w:val="center"/>
    </w:pPr>
    <w:rPr>
      <w:rFonts w:eastAsia="Times New Roman"/>
      <w:b/>
      <w:bCs/>
      <w:sz w:val="32"/>
      <w:szCs w:val="32"/>
      <w:lang w:val="en-US"/>
    </w:rPr>
  </w:style>
  <w:style w:type="paragraph" w:customStyle="1" w:styleId="323">
    <w:name w:val="xl75"/>
    <w:basedOn w:val="1"/>
    <w:uiPriority w:val="0"/>
    <w:pPr>
      <w:pBdr>
        <w:top w:val="single" w:color="000000" w:sz="4" w:space="0"/>
        <w:left w:val="single" w:color="000000" w:sz="4" w:space="0"/>
        <w:bottom w:val="none" w:color="000000" w:sz="0" w:space="0"/>
        <w:right w:val="single" w:color="000000" w:sz="4" w:space="0"/>
      </w:pBdr>
      <w:spacing w:before="280" w:after="280" w:line="240" w:lineRule="auto"/>
      <w:jc w:val="center"/>
      <w:textAlignment w:val="center"/>
    </w:pPr>
    <w:rPr>
      <w:rFonts w:eastAsia="Times New Roman"/>
      <w:sz w:val="24"/>
      <w:szCs w:val="24"/>
      <w:lang w:val="en-US"/>
    </w:rPr>
  </w:style>
  <w:style w:type="paragraph" w:customStyle="1" w:styleId="324">
    <w:name w:val="xl76"/>
    <w:basedOn w:val="1"/>
    <w:uiPriority w:val="0"/>
    <w:pPr>
      <w:pBdr>
        <w:top w:val="none" w:color="000000" w:sz="0" w:space="0"/>
        <w:left w:val="single" w:color="000000" w:sz="4" w:space="0"/>
        <w:bottom w:val="single" w:color="000000" w:sz="4" w:space="0"/>
        <w:right w:val="single" w:color="000000" w:sz="4" w:space="0"/>
      </w:pBdr>
      <w:spacing w:before="280" w:after="280" w:line="240" w:lineRule="auto"/>
      <w:jc w:val="center"/>
      <w:textAlignment w:val="center"/>
    </w:pPr>
    <w:rPr>
      <w:rFonts w:eastAsia="Times New Roman"/>
      <w:sz w:val="24"/>
      <w:szCs w:val="24"/>
      <w:lang w:val="en-US"/>
    </w:rPr>
  </w:style>
  <w:style w:type="paragraph" w:customStyle="1" w:styleId="325">
    <w:name w:val="Style25"/>
    <w:basedOn w:val="1"/>
    <w:uiPriority w:val="0"/>
    <w:pPr>
      <w:widowControl w:val="0"/>
      <w:autoSpaceDE w:val="0"/>
      <w:spacing w:line="275" w:lineRule="exact"/>
      <w:ind w:left="0" w:right="0" w:firstLine="710"/>
      <w:jc w:val="both"/>
    </w:pPr>
    <w:rPr>
      <w:rFonts w:ascii="Century Gothic" w:hAnsi="Century Gothic" w:eastAsia="Times New Roman" w:cs="Times New Roman"/>
      <w:sz w:val="24"/>
      <w:szCs w:val="24"/>
      <w:lang w:val="en-US"/>
    </w:rPr>
  </w:style>
  <w:style w:type="paragraph" w:customStyle="1" w:styleId="326">
    <w:name w:val="Fără spațiere3"/>
    <w:uiPriority w:val="0"/>
    <w:pPr>
      <w:suppressAutoHyphens/>
    </w:pPr>
    <w:rPr>
      <w:rFonts w:ascii="Calibri" w:hAnsi="Calibri" w:eastAsia="Calibri"/>
      <w:sz w:val="22"/>
      <w:szCs w:val="22"/>
      <w:lang w:val="en-GB" w:eastAsia="zh-CN" w:bidi="ar-SA"/>
    </w:rPr>
  </w:style>
  <w:style w:type="paragraph" w:customStyle="1" w:styleId="327">
    <w:name w:val=" Caracter Caracter Char Char Char Char"/>
    <w:basedOn w:val="1"/>
    <w:uiPriority w:val="0"/>
    <w:pPr>
      <w:widowControl w:val="0"/>
      <w:spacing w:line="280" w:lineRule="atLeast"/>
    </w:pPr>
    <w:rPr>
      <w:rFonts w:ascii="Times New Roman" w:hAnsi="Times New Roman" w:eastAsia="MS Mincho" w:cs="Times New Roman"/>
      <w:sz w:val="22"/>
      <w:lang w:val="en-GB"/>
    </w:rPr>
  </w:style>
  <w:style w:type="paragraph" w:customStyle="1" w:styleId="328">
    <w:name w:val="Style9"/>
    <w:basedOn w:val="1"/>
    <w:uiPriority w:val="0"/>
    <w:pPr>
      <w:widowControl w:val="0"/>
      <w:autoSpaceDE w:val="0"/>
      <w:spacing w:line="240" w:lineRule="auto"/>
      <w:jc w:val="both"/>
    </w:pPr>
    <w:rPr>
      <w:rFonts w:ascii="Segoe UI" w:hAnsi="Segoe UI" w:eastAsia="Times New Roman" w:cs="Segoe UI"/>
      <w:sz w:val="24"/>
      <w:szCs w:val="24"/>
      <w:lang w:val="en-US"/>
    </w:rPr>
  </w:style>
  <w:style w:type="paragraph" w:customStyle="1" w:styleId="329">
    <w:name w:val="Style23"/>
    <w:basedOn w:val="1"/>
    <w:uiPriority w:val="0"/>
    <w:pPr>
      <w:widowControl w:val="0"/>
      <w:autoSpaceDE w:val="0"/>
      <w:spacing w:line="240" w:lineRule="auto"/>
    </w:pPr>
    <w:rPr>
      <w:rFonts w:ascii="Segoe UI" w:hAnsi="Segoe UI" w:eastAsia="Times New Roman" w:cs="Segoe UI"/>
      <w:sz w:val="24"/>
      <w:szCs w:val="24"/>
      <w:lang w:val="en-US"/>
    </w:rPr>
  </w:style>
  <w:style w:type="paragraph" w:customStyle="1" w:styleId="330">
    <w:name w:val="Style24"/>
    <w:basedOn w:val="1"/>
    <w:uiPriority w:val="0"/>
    <w:pPr>
      <w:widowControl w:val="0"/>
      <w:autoSpaceDE w:val="0"/>
      <w:spacing w:line="264" w:lineRule="exact"/>
      <w:ind w:left="0" w:right="0" w:firstLine="360"/>
      <w:jc w:val="both"/>
    </w:pPr>
    <w:rPr>
      <w:rFonts w:ascii="Segoe UI" w:hAnsi="Segoe UI" w:eastAsia="Times New Roman" w:cs="Segoe UI"/>
      <w:sz w:val="24"/>
      <w:szCs w:val="24"/>
      <w:lang w:val="en-US"/>
    </w:rPr>
  </w:style>
  <w:style w:type="paragraph" w:customStyle="1" w:styleId="331">
    <w:name w:val="Style26"/>
    <w:basedOn w:val="1"/>
    <w:uiPriority w:val="0"/>
    <w:pPr>
      <w:widowControl w:val="0"/>
      <w:autoSpaceDE w:val="0"/>
      <w:spacing w:line="240" w:lineRule="auto"/>
    </w:pPr>
    <w:rPr>
      <w:rFonts w:ascii="Segoe UI" w:hAnsi="Segoe UI" w:eastAsia="Times New Roman" w:cs="Segoe UI"/>
      <w:sz w:val="24"/>
      <w:szCs w:val="24"/>
      <w:lang w:val="en-US"/>
    </w:rPr>
  </w:style>
  <w:style w:type="paragraph" w:customStyle="1" w:styleId="332">
    <w:name w:val="Style10"/>
    <w:basedOn w:val="1"/>
    <w:uiPriority w:val="0"/>
    <w:pPr>
      <w:widowControl w:val="0"/>
      <w:autoSpaceDE w:val="0"/>
      <w:spacing w:line="271" w:lineRule="exact"/>
      <w:jc w:val="both"/>
    </w:pPr>
    <w:rPr>
      <w:rFonts w:ascii="Segoe UI" w:hAnsi="Segoe UI" w:eastAsia="Times New Roman" w:cs="Segoe UI"/>
      <w:sz w:val="24"/>
      <w:szCs w:val="24"/>
      <w:lang w:val="en-US"/>
    </w:rPr>
  </w:style>
  <w:style w:type="paragraph" w:customStyle="1" w:styleId="333">
    <w:name w:val="Style11"/>
    <w:basedOn w:val="1"/>
    <w:uiPriority w:val="0"/>
    <w:pPr>
      <w:widowControl w:val="0"/>
      <w:autoSpaceDE w:val="0"/>
      <w:spacing w:line="274" w:lineRule="exact"/>
      <w:jc w:val="both"/>
    </w:pPr>
    <w:rPr>
      <w:rFonts w:ascii="Segoe UI" w:hAnsi="Segoe UI" w:eastAsia="Times New Roman" w:cs="Segoe UI"/>
      <w:sz w:val="24"/>
      <w:szCs w:val="24"/>
      <w:lang w:val="en-US"/>
    </w:rPr>
  </w:style>
  <w:style w:type="paragraph" w:customStyle="1" w:styleId="334">
    <w:name w:val="Style13"/>
    <w:basedOn w:val="1"/>
    <w:uiPriority w:val="0"/>
    <w:pPr>
      <w:widowControl w:val="0"/>
      <w:autoSpaceDE w:val="0"/>
      <w:spacing w:line="272" w:lineRule="exact"/>
      <w:jc w:val="both"/>
    </w:pPr>
    <w:rPr>
      <w:rFonts w:ascii="Segoe UI" w:hAnsi="Segoe UI" w:eastAsia="Times New Roman" w:cs="Segoe UI"/>
      <w:sz w:val="24"/>
      <w:szCs w:val="24"/>
      <w:lang w:val="en-US"/>
    </w:rPr>
  </w:style>
  <w:style w:type="paragraph" w:customStyle="1" w:styleId="335">
    <w:name w:val="Style41"/>
    <w:basedOn w:val="1"/>
    <w:uiPriority w:val="0"/>
    <w:pPr>
      <w:widowControl w:val="0"/>
      <w:autoSpaceDE w:val="0"/>
      <w:spacing w:line="272" w:lineRule="exact"/>
      <w:ind w:left="0" w:right="0" w:firstLine="710"/>
      <w:jc w:val="both"/>
    </w:pPr>
    <w:rPr>
      <w:rFonts w:ascii="Segoe UI" w:hAnsi="Segoe UI" w:eastAsia="Times New Roman" w:cs="Segoe UI"/>
      <w:sz w:val="24"/>
      <w:szCs w:val="24"/>
      <w:lang w:val="en-US"/>
    </w:rPr>
  </w:style>
  <w:style w:type="paragraph" w:customStyle="1" w:styleId="336">
    <w:name w:val="Style46"/>
    <w:basedOn w:val="1"/>
    <w:uiPriority w:val="0"/>
    <w:pPr>
      <w:widowControl w:val="0"/>
      <w:autoSpaceDE w:val="0"/>
      <w:spacing w:line="312" w:lineRule="exact"/>
      <w:ind w:left="0" w:right="0" w:firstLine="715"/>
      <w:jc w:val="both"/>
    </w:pPr>
    <w:rPr>
      <w:rFonts w:ascii="Segoe UI" w:hAnsi="Segoe UI" w:eastAsia="Times New Roman" w:cs="Segoe UI"/>
      <w:sz w:val="24"/>
      <w:szCs w:val="24"/>
      <w:lang w:val="en-US"/>
    </w:rPr>
  </w:style>
  <w:style w:type="paragraph" w:customStyle="1" w:styleId="337">
    <w:name w:val="Style51"/>
    <w:basedOn w:val="1"/>
    <w:uiPriority w:val="0"/>
    <w:pPr>
      <w:widowControl w:val="0"/>
      <w:autoSpaceDE w:val="0"/>
      <w:spacing w:line="274" w:lineRule="exact"/>
      <w:ind w:left="0" w:right="0" w:firstLine="715"/>
    </w:pPr>
    <w:rPr>
      <w:rFonts w:ascii="Segoe UI" w:hAnsi="Segoe UI" w:eastAsia="Times New Roman" w:cs="Segoe UI"/>
      <w:sz w:val="24"/>
      <w:szCs w:val="24"/>
      <w:lang w:val="en-US"/>
    </w:rPr>
  </w:style>
  <w:style w:type="paragraph" w:styleId="338">
    <w:name w:val=""/>
    <w:basedOn w:val="2"/>
    <w:next w:val="1"/>
    <w:qFormat/>
    <w:uiPriority w:val="0"/>
    <w:pPr>
      <w:keepLines/>
      <w:numPr>
        <w:ilvl w:val="0"/>
        <w:numId w:val="0"/>
      </w:numPr>
      <w:tabs>
        <w:tab w:val="clear" w:pos="0"/>
      </w:tabs>
      <w:spacing w:before="240" w:after="0" w:line="252" w:lineRule="auto"/>
      <w:ind w:left="0" w:right="0" w:firstLine="0"/>
      <w:jc w:val="left"/>
    </w:pPr>
    <w:rPr>
      <w:rFonts w:ascii="Calibri Light" w:hAnsi="Calibri Light" w:cs="Calibri Light"/>
      <w:b w:val="0"/>
      <w:bCs w:val="0"/>
      <w:color w:val="2E74B5"/>
      <w:sz w:val="32"/>
      <w:szCs w:val="32"/>
      <w:lang w:val="en-US"/>
    </w:rPr>
  </w:style>
  <w:style w:type="paragraph" w:customStyle="1" w:styleId="339">
    <w:name w:val="Listă paragraf1"/>
    <w:basedOn w:val="1"/>
    <w:uiPriority w:val="0"/>
    <w:pPr>
      <w:spacing w:before="0" w:after="160" w:line="252" w:lineRule="auto"/>
      <w:ind w:left="720" w:right="0" w:firstLine="0"/>
      <w:contextualSpacing/>
    </w:pPr>
    <w:rPr>
      <w:rFonts w:ascii="Calibri" w:hAnsi="Calibri" w:cs="Times New Roman"/>
      <w:sz w:val="22"/>
      <w:szCs w:val="22"/>
    </w:rPr>
  </w:style>
  <w:style w:type="paragraph" w:customStyle="1" w:styleId="340">
    <w:name w:val="Char Char3"/>
    <w:basedOn w:val="1"/>
    <w:uiPriority w:val="0"/>
    <w:pPr>
      <w:spacing w:line="240" w:lineRule="auto"/>
    </w:pPr>
    <w:rPr>
      <w:rFonts w:eastAsia="Times New Roman" w:cs="Times New Roman"/>
      <w:sz w:val="24"/>
      <w:szCs w:val="24"/>
      <w:lang w:val="pl-PL"/>
    </w:rPr>
  </w:style>
  <w:style w:type="paragraph" w:customStyle="1" w:styleId="341">
    <w:name w:val="Char"/>
    <w:basedOn w:val="1"/>
    <w:uiPriority w:val="0"/>
    <w:pPr>
      <w:spacing w:line="240" w:lineRule="auto"/>
    </w:pPr>
    <w:rPr>
      <w:rFonts w:eastAsia="Times New Roman" w:cs="Times New Roman"/>
      <w:sz w:val="24"/>
      <w:szCs w:val="24"/>
      <w:lang w:val="pl-PL"/>
    </w:rPr>
  </w:style>
  <w:style w:type="paragraph" w:customStyle="1" w:styleId="342">
    <w:name w:val="Char Char1 Char Char"/>
    <w:basedOn w:val="1"/>
    <w:uiPriority w:val="0"/>
    <w:pPr>
      <w:spacing w:line="240" w:lineRule="auto"/>
    </w:pPr>
    <w:rPr>
      <w:rFonts w:eastAsia="Times New Roman" w:cs="Times New Roman"/>
      <w:sz w:val="24"/>
      <w:szCs w:val="24"/>
      <w:lang w:val="pl-PL"/>
    </w:rPr>
  </w:style>
  <w:style w:type="paragraph" w:customStyle="1" w:styleId="343">
    <w:name w:val="Char Char1 Char Char Char Char Char Char Char Char Char Char Char Char Char Char"/>
    <w:basedOn w:val="1"/>
    <w:uiPriority w:val="0"/>
    <w:pPr>
      <w:spacing w:line="240" w:lineRule="auto"/>
    </w:pPr>
    <w:rPr>
      <w:rFonts w:eastAsia="Times New Roman" w:cs="Times New Roman"/>
      <w:sz w:val="24"/>
      <w:szCs w:val="24"/>
      <w:lang w:val="pl-PL"/>
    </w:rPr>
  </w:style>
  <w:style w:type="paragraph" w:customStyle="1" w:styleId="344">
    <w:name w:val="Caracter Char"/>
    <w:basedOn w:val="1"/>
    <w:uiPriority w:val="0"/>
    <w:pPr>
      <w:suppressAutoHyphens/>
      <w:spacing w:before="0" w:after="160" w:line="240" w:lineRule="exact"/>
    </w:pPr>
    <w:rPr>
      <w:rFonts w:ascii="Verdana" w:hAnsi="Verdana" w:eastAsia="Times New Roman" w:cs="Verdana"/>
      <w:lang w:val="en-US"/>
    </w:rPr>
  </w:style>
  <w:style w:type="paragraph" w:customStyle="1" w:styleId="345">
    <w:name w:val="Char Char Caracter Char Char Char"/>
    <w:basedOn w:val="1"/>
    <w:uiPriority w:val="0"/>
    <w:pPr>
      <w:suppressAutoHyphens/>
      <w:spacing w:line="240" w:lineRule="auto"/>
    </w:pPr>
    <w:rPr>
      <w:rFonts w:ascii="Times New Roman" w:hAnsi="Times New Roman" w:eastAsia="Times New Roman" w:cs="Times New Roman"/>
      <w:sz w:val="24"/>
      <w:szCs w:val="24"/>
      <w:lang w:val="pl-PL"/>
    </w:rPr>
  </w:style>
  <w:style w:type="paragraph" w:customStyle="1" w:styleId="346">
    <w:name w:val="Caracter Caracter Char Char Char Char"/>
    <w:basedOn w:val="1"/>
    <w:uiPriority w:val="0"/>
    <w:pPr>
      <w:widowControl w:val="0"/>
      <w:spacing w:line="280" w:lineRule="atLeast"/>
    </w:pPr>
    <w:rPr>
      <w:rFonts w:ascii="Times New Roman" w:hAnsi="Times New Roman" w:eastAsia="MS Mincho" w:cs="Times New Roman"/>
      <w:sz w:val="22"/>
      <w:lang w:val="en-GB"/>
    </w:rPr>
  </w:style>
  <w:style w:type="paragraph" w:customStyle="1" w:styleId="347">
    <w:name w:val="Style3"/>
    <w:basedOn w:val="1"/>
    <w:uiPriority w:val="0"/>
    <w:pPr>
      <w:tabs>
        <w:tab w:val="left" w:pos="360"/>
      </w:tabs>
      <w:overflowPunct/>
      <w:jc w:val="both"/>
      <w:textAlignment w:val="baseline"/>
    </w:pPr>
    <w:rPr>
      <w:rFonts w:ascii="Arial" w:hAnsi="Arial"/>
      <w:position w:val="0"/>
      <w:sz w:val="20"/>
      <w:szCs w:val="20"/>
      <w:vertAlign w:val="baseline"/>
      <w:lang w:eastAsia="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21</Pages>
  <Words>6971</Words>
  <Characters>40433</Characters>
  <Lines>336</Lines>
  <Paragraphs>94</Paragraphs>
  <TotalTime>0</TotalTime>
  <ScaleCrop>false</ScaleCrop>
  <LinksUpToDate>false</LinksUpToDate>
  <CharactersWithSpaces>47310</CharactersWithSpaces>
  <Application>WPS Office_12.2.0.13266_F1E327BC-269C-435d-A152-05C5408002CA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1995-11-21T15:41:00Z</dcterms:created>
  <dc:creator>mirela.aungurencei</dc:creator>
  <cp:lastModifiedBy>Utilizator</cp:lastModifiedBy>
  <cp:lastPrinted>2022-01-05T07:48:00Z</cp:lastPrinted>
  <dcterms:modified xsi:type="dcterms:W3CDTF">2023-11-06T13:37:11Z</dcterms:modified>
  <dc:title>Nr15088/17</dc:title>
  <cp:revision>125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1033-12.2.0.13266</vt:lpwstr>
  </property>
  <property fmtid="{D5CDD505-2E9C-101B-9397-08002B2CF9AE}" pid="3" name="ICV">
    <vt:lpwstr>68AD50E5714B42688EE27DCE9BA55A2F_13</vt:lpwstr>
  </property>
</Properties>
</file>