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05F9" w14:textId="27BDC8DE" w:rsidR="00EC5C3C" w:rsidRDefault="0049627E" w:rsidP="0044267C">
      <w:pPr>
        <w:autoSpaceDE w:val="0"/>
        <w:jc w:val="right"/>
        <w:rPr>
          <w:rFonts w:cs="Arial"/>
          <w:b/>
          <w:sz w:val="24"/>
          <w:szCs w:val="24"/>
          <w:lang w:val="it-IT"/>
        </w:rPr>
      </w:pPr>
      <w:r>
        <w:rPr>
          <w:rFonts w:cs="Arial"/>
          <w:b/>
          <w:sz w:val="24"/>
          <w:szCs w:val="24"/>
          <w:lang w:val="it-IT"/>
        </w:rPr>
        <w:t>ANEXĂ la HCL nr.</w:t>
      </w:r>
      <w:r w:rsidR="00E9023E">
        <w:rPr>
          <w:rFonts w:cs="Arial"/>
          <w:b/>
          <w:sz w:val="24"/>
          <w:szCs w:val="24"/>
          <w:lang w:val="it-IT"/>
        </w:rPr>
        <w:t xml:space="preserve"> </w:t>
      </w:r>
      <w:r w:rsidR="00170463">
        <w:rPr>
          <w:rFonts w:cs="Arial"/>
          <w:b/>
          <w:sz w:val="24"/>
          <w:szCs w:val="24"/>
          <w:lang w:val="it-IT"/>
        </w:rPr>
        <w:t>75</w:t>
      </w:r>
      <w:r>
        <w:rPr>
          <w:rFonts w:cs="Arial"/>
          <w:b/>
          <w:sz w:val="24"/>
          <w:szCs w:val="24"/>
          <w:lang w:val="it-IT"/>
        </w:rPr>
        <w:t>/</w:t>
      </w:r>
      <w:r w:rsidR="00501011">
        <w:rPr>
          <w:rFonts w:cs="Arial"/>
          <w:b/>
          <w:sz w:val="24"/>
          <w:szCs w:val="24"/>
          <w:lang w:val="it-IT"/>
        </w:rPr>
        <w:t>2</w:t>
      </w:r>
      <w:r w:rsidR="005D2660">
        <w:rPr>
          <w:rFonts w:cs="Arial"/>
          <w:b/>
          <w:sz w:val="24"/>
          <w:szCs w:val="24"/>
          <w:lang w:val="it-IT"/>
        </w:rPr>
        <w:t>3</w:t>
      </w:r>
      <w:r>
        <w:rPr>
          <w:rFonts w:cs="Arial"/>
          <w:b/>
          <w:sz w:val="24"/>
          <w:szCs w:val="24"/>
          <w:lang w:val="it-IT"/>
        </w:rPr>
        <w:t>.</w:t>
      </w:r>
      <w:r w:rsidR="00F8418C">
        <w:rPr>
          <w:rFonts w:cs="Arial"/>
          <w:b/>
          <w:sz w:val="24"/>
          <w:szCs w:val="24"/>
          <w:lang w:val="it-IT"/>
        </w:rPr>
        <w:t>12</w:t>
      </w:r>
      <w:r>
        <w:rPr>
          <w:rFonts w:cs="Arial"/>
          <w:b/>
          <w:sz w:val="24"/>
          <w:szCs w:val="24"/>
          <w:lang w:val="it-IT"/>
        </w:rPr>
        <w:t>.202</w:t>
      </w:r>
      <w:r w:rsidR="005B2EA6">
        <w:rPr>
          <w:rFonts w:cs="Arial"/>
          <w:b/>
          <w:sz w:val="24"/>
          <w:szCs w:val="24"/>
          <w:lang w:val="it-IT"/>
        </w:rPr>
        <w:t>4</w:t>
      </w:r>
    </w:p>
    <w:p w14:paraId="51CC61B7" w14:textId="6D1A5739" w:rsidR="00EC5C3C" w:rsidRPr="00B52232" w:rsidRDefault="00EC5C3C" w:rsidP="00EC5C3C">
      <w:pPr>
        <w:pStyle w:val="Footer"/>
        <w:tabs>
          <w:tab w:val="left" w:pos="3024"/>
        </w:tabs>
        <w:jc w:val="right"/>
        <w:rPr>
          <w:b/>
        </w:rPr>
      </w:pPr>
    </w:p>
    <w:p w14:paraId="15C6D0F6" w14:textId="77777777" w:rsidR="00EC5C3C" w:rsidRPr="00844BC5" w:rsidRDefault="00EC5C3C" w:rsidP="00EC5C3C">
      <w:pPr>
        <w:ind w:firstLine="708"/>
        <w:jc w:val="center"/>
        <w:rPr>
          <w:b/>
        </w:rPr>
      </w:pPr>
    </w:p>
    <w:p w14:paraId="074B3228" w14:textId="1D6CAF85" w:rsidR="00EC5C3C" w:rsidRPr="00EC5C3C" w:rsidRDefault="00EC5C3C" w:rsidP="00EC5C3C">
      <w:pPr>
        <w:ind w:firstLine="708"/>
        <w:jc w:val="center"/>
        <w:rPr>
          <w:b/>
          <w:sz w:val="24"/>
          <w:szCs w:val="24"/>
        </w:rPr>
      </w:pPr>
      <w:r w:rsidRPr="00EC5C3C">
        <w:rPr>
          <w:b/>
          <w:sz w:val="24"/>
          <w:szCs w:val="24"/>
        </w:rPr>
        <w:t>Raport privind activitatea desfăşurată de asistenţii personali ai persoanelor cu handicap grav din comuna Poiana Mărului</w:t>
      </w:r>
      <w:r w:rsidR="006D429B">
        <w:rPr>
          <w:b/>
          <w:sz w:val="24"/>
          <w:szCs w:val="24"/>
        </w:rPr>
        <w:t>,</w:t>
      </w:r>
      <w:r w:rsidRPr="00EC5C3C">
        <w:rPr>
          <w:b/>
          <w:sz w:val="24"/>
          <w:szCs w:val="24"/>
        </w:rPr>
        <w:t xml:space="preserve"> </w:t>
      </w:r>
      <w:r w:rsidR="006D429B">
        <w:rPr>
          <w:b/>
          <w:sz w:val="24"/>
          <w:szCs w:val="24"/>
        </w:rPr>
        <w:t xml:space="preserve">pe </w:t>
      </w:r>
      <w:r w:rsidRPr="00EC5C3C">
        <w:rPr>
          <w:b/>
          <w:sz w:val="24"/>
          <w:szCs w:val="24"/>
        </w:rPr>
        <w:t>semestrul II</w:t>
      </w:r>
      <w:r w:rsidR="006D429B">
        <w:rPr>
          <w:b/>
          <w:sz w:val="24"/>
          <w:szCs w:val="24"/>
        </w:rPr>
        <w:t xml:space="preserve"> al</w:t>
      </w:r>
      <w:r w:rsidRPr="00EC5C3C">
        <w:rPr>
          <w:b/>
          <w:sz w:val="24"/>
          <w:szCs w:val="24"/>
        </w:rPr>
        <w:t xml:space="preserve"> anul</w:t>
      </w:r>
      <w:r w:rsidR="006D429B">
        <w:rPr>
          <w:b/>
          <w:sz w:val="24"/>
          <w:szCs w:val="24"/>
        </w:rPr>
        <w:t>ui</w:t>
      </w:r>
      <w:r w:rsidRPr="00EC5C3C">
        <w:rPr>
          <w:b/>
          <w:sz w:val="24"/>
          <w:szCs w:val="24"/>
        </w:rPr>
        <w:t xml:space="preserve"> 202</w:t>
      </w:r>
      <w:r w:rsidR="005B2EA6">
        <w:rPr>
          <w:b/>
          <w:sz w:val="24"/>
          <w:szCs w:val="24"/>
        </w:rPr>
        <w:t>4</w:t>
      </w:r>
    </w:p>
    <w:p w14:paraId="6ACFD244" w14:textId="77777777" w:rsidR="00EC5C3C" w:rsidRPr="00844BC5" w:rsidRDefault="00EC5C3C" w:rsidP="00EC5C3C">
      <w:pPr>
        <w:ind w:firstLine="708"/>
        <w:rPr>
          <w:b/>
        </w:rPr>
      </w:pPr>
    </w:p>
    <w:p w14:paraId="5831FEA8" w14:textId="6FE03946" w:rsidR="00EC5C3C" w:rsidRPr="00844BC5" w:rsidRDefault="00EC5C3C" w:rsidP="00EC5C3C">
      <w:r w:rsidRPr="00844BC5">
        <w:t xml:space="preserve">           </w:t>
      </w:r>
    </w:p>
    <w:p w14:paraId="11035D48" w14:textId="37BE3068" w:rsidR="00EC5C3C" w:rsidRPr="00EC5C3C" w:rsidRDefault="00EC5C3C" w:rsidP="00EC5C3C">
      <w:pPr>
        <w:ind w:left="708"/>
        <w:jc w:val="both"/>
        <w:rPr>
          <w:sz w:val="24"/>
          <w:szCs w:val="24"/>
        </w:rPr>
      </w:pPr>
      <w:r>
        <w:t xml:space="preserve">  </w:t>
      </w:r>
      <w:bookmarkStart w:id="0" w:name="_Hlk153442764"/>
      <w:r w:rsidRPr="00EC5C3C">
        <w:rPr>
          <w:sz w:val="24"/>
          <w:szCs w:val="24"/>
        </w:rPr>
        <w:t>În conformitate cu prevederile din Legea nr. 448/2006 privind protecţia şi promovarea drepturilor persoanelor cu handicap, republicată:</w:t>
      </w:r>
    </w:p>
    <w:p w14:paraId="491E5C5C" w14:textId="40BCEE98" w:rsidR="00EC5C3C" w:rsidRPr="00EC5C3C" w:rsidRDefault="00EC5C3C" w:rsidP="00EC5C3C">
      <w:pPr>
        <w:ind w:firstLine="708"/>
        <w:jc w:val="both"/>
        <w:rPr>
          <w:sz w:val="24"/>
          <w:szCs w:val="24"/>
        </w:rPr>
      </w:pPr>
      <w:r w:rsidRPr="00EC5C3C">
        <w:rPr>
          <w:sz w:val="24"/>
          <w:szCs w:val="24"/>
        </w:rPr>
        <w:t xml:space="preserve"> Art. 35  </w:t>
      </w:r>
      <w:r w:rsidRPr="006D429B">
        <w:rPr>
          <w:i/>
          <w:iCs/>
          <w:sz w:val="24"/>
          <w:szCs w:val="24"/>
        </w:rPr>
        <w:t>“persoana cu handicap grav are dreptul, în baza evaluării socio psihomedicale, la un asistent personal”</w:t>
      </w:r>
      <w:r w:rsidR="006D429B">
        <w:rPr>
          <w:i/>
          <w:iCs/>
          <w:sz w:val="24"/>
          <w:szCs w:val="24"/>
        </w:rPr>
        <w:t>.</w:t>
      </w:r>
    </w:p>
    <w:p w14:paraId="2CCA2105" w14:textId="77777777" w:rsidR="00EC5C3C" w:rsidRPr="00EC5C3C" w:rsidRDefault="00EC5C3C" w:rsidP="00EC5C3C">
      <w:pPr>
        <w:ind w:firstLine="708"/>
        <w:jc w:val="both"/>
        <w:rPr>
          <w:sz w:val="24"/>
          <w:szCs w:val="24"/>
        </w:rPr>
      </w:pPr>
      <w:r w:rsidRPr="00EC5C3C">
        <w:rPr>
          <w:sz w:val="24"/>
          <w:szCs w:val="24"/>
        </w:rPr>
        <w:t xml:space="preserve"> Art. 39 </w:t>
      </w:r>
      <w:r w:rsidRPr="006D429B">
        <w:rPr>
          <w:i/>
          <w:iCs/>
          <w:sz w:val="24"/>
          <w:szCs w:val="24"/>
        </w:rPr>
        <w:t>“contractul individual de muncă al asistentului personal se încheie cu primăria localităţii de domiciliul sau reşedinţă a persoanei cu handicap grav, după caz”</w:t>
      </w:r>
      <w:r w:rsidRPr="00EC5C3C">
        <w:rPr>
          <w:sz w:val="24"/>
          <w:szCs w:val="24"/>
        </w:rPr>
        <w:t xml:space="preserve">, </w:t>
      </w:r>
    </w:p>
    <w:p w14:paraId="6161905C" w14:textId="77777777" w:rsidR="00EC5C3C" w:rsidRPr="00EC5C3C" w:rsidRDefault="00EC5C3C" w:rsidP="00EC5C3C">
      <w:pPr>
        <w:ind w:firstLine="708"/>
        <w:jc w:val="both"/>
        <w:rPr>
          <w:sz w:val="24"/>
          <w:szCs w:val="24"/>
        </w:rPr>
      </w:pPr>
      <w:r w:rsidRPr="00EC5C3C">
        <w:rPr>
          <w:sz w:val="24"/>
          <w:szCs w:val="24"/>
        </w:rPr>
        <w:t>Art.  40 alin.</w:t>
      </w:r>
      <w:r w:rsidRPr="006D429B">
        <w:rPr>
          <w:i/>
          <w:iCs/>
          <w:sz w:val="24"/>
          <w:szCs w:val="24"/>
        </w:rPr>
        <w:t>1  “autorităţile administraţiei publice locale au obligaţia să prevadă şi să garanteze în bugetul local sumele necesare din care suportă salarizarea, precum şi celelalte drepturi cuvenite asistentului personal, potrivit legii.”</w:t>
      </w:r>
    </w:p>
    <w:p w14:paraId="0C85ABD3" w14:textId="77777777" w:rsidR="006D429B" w:rsidRDefault="00EC5C3C" w:rsidP="00EC5C3C">
      <w:pPr>
        <w:ind w:firstLine="708"/>
        <w:jc w:val="both"/>
        <w:rPr>
          <w:sz w:val="24"/>
          <w:szCs w:val="24"/>
        </w:rPr>
      </w:pPr>
      <w:r w:rsidRPr="00EC5C3C">
        <w:rPr>
          <w:sz w:val="24"/>
          <w:szCs w:val="24"/>
        </w:rPr>
        <w:t xml:space="preserve"> În </w:t>
      </w:r>
      <w:r w:rsidR="006D429B">
        <w:rPr>
          <w:sz w:val="24"/>
          <w:szCs w:val="24"/>
        </w:rPr>
        <w:t>C</w:t>
      </w:r>
      <w:r w:rsidRPr="00EC5C3C">
        <w:rPr>
          <w:sz w:val="24"/>
          <w:szCs w:val="24"/>
        </w:rPr>
        <w:t xml:space="preserve">omuna Poiana Mărului contractele de muncă ale asistenţilor personali se încheie de către Primăria </w:t>
      </w:r>
      <w:r w:rsidR="006D429B">
        <w:rPr>
          <w:sz w:val="24"/>
          <w:szCs w:val="24"/>
        </w:rPr>
        <w:t>C</w:t>
      </w:r>
      <w:r w:rsidRPr="00EC5C3C">
        <w:rPr>
          <w:sz w:val="24"/>
          <w:szCs w:val="24"/>
        </w:rPr>
        <w:t xml:space="preserve">omunei Poiana Mărului, compartimentul public local care asigură asistenţa socială la nivelul </w:t>
      </w:r>
      <w:r w:rsidR="006D429B">
        <w:rPr>
          <w:sz w:val="24"/>
          <w:szCs w:val="24"/>
        </w:rPr>
        <w:t>C</w:t>
      </w:r>
      <w:r w:rsidRPr="00EC5C3C">
        <w:rPr>
          <w:sz w:val="24"/>
          <w:szCs w:val="24"/>
        </w:rPr>
        <w:t>omunei. Având în vedere prevederile art. 29 din HG nr. 268/2007 pentru aprobarea normelor metodologice de aplicare a prevederilor Legii nr. 448/2006 privind protecţia şi promovarea drepturilor persoanelor cu handicap</w:t>
      </w:r>
      <w:r w:rsidRPr="006D429B">
        <w:rPr>
          <w:sz w:val="24"/>
          <w:szCs w:val="24"/>
        </w:rPr>
        <w:t>,</w:t>
      </w:r>
      <w:r w:rsidRPr="006D429B">
        <w:rPr>
          <w:i/>
          <w:iCs/>
          <w:sz w:val="24"/>
          <w:szCs w:val="24"/>
        </w:rPr>
        <w:t xml:space="preserve"> “serviciul public de asistenţă socială de la nivelul primăriei”</w:t>
      </w:r>
      <w:r w:rsidRPr="00EC5C3C">
        <w:rPr>
          <w:sz w:val="24"/>
          <w:szCs w:val="24"/>
        </w:rPr>
        <w:t xml:space="preserve"> are obligaţia de a prezenta </w:t>
      </w:r>
      <w:r w:rsidR="006D429B">
        <w:rPr>
          <w:sz w:val="24"/>
          <w:szCs w:val="24"/>
        </w:rPr>
        <w:t>C</w:t>
      </w:r>
      <w:r w:rsidRPr="00EC5C3C">
        <w:rPr>
          <w:sz w:val="24"/>
          <w:szCs w:val="24"/>
        </w:rPr>
        <w:t xml:space="preserve">onsiliului local un raport semestrial privind activitatea asistenţilor personali. </w:t>
      </w:r>
    </w:p>
    <w:p w14:paraId="76EC0790" w14:textId="01F77614" w:rsidR="00EC5C3C" w:rsidRPr="00844BC5" w:rsidRDefault="00EC5C3C" w:rsidP="00EC5C3C">
      <w:pPr>
        <w:ind w:firstLine="708"/>
        <w:jc w:val="both"/>
      </w:pPr>
      <w:r w:rsidRPr="00EC5C3C">
        <w:rPr>
          <w:sz w:val="24"/>
          <w:szCs w:val="24"/>
        </w:rPr>
        <w:t xml:space="preserve">Pentru perioada </w:t>
      </w:r>
      <w:r w:rsidRPr="00EC5C3C">
        <w:rPr>
          <w:color w:val="000000" w:themeColor="text1"/>
          <w:sz w:val="24"/>
          <w:szCs w:val="24"/>
        </w:rPr>
        <w:t>Iulie 202</w:t>
      </w:r>
      <w:r w:rsidR="005B2EA6">
        <w:rPr>
          <w:color w:val="000000" w:themeColor="text1"/>
          <w:sz w:val="24"/>
          <w:szCs w:val="24"/>
        </w:rPr>
        <w:t>4</w:t>
      </w:r>
      <w:r w:rsidRPr="00EC5C3C">
        <w:rPr>
          <w:color w:val="000000" w:themeColor="text1"/>
          <w:sz w:val="24"/>
          <w:szCs w:val="24"/>
        </w:rPr>
        <w:t xml:space="preserve"> –</w:t>
      </w:r>
      <w:r w:rsidRPr="00EC5C3C">
        <w:rPr>
          <w:color w:val="FF0000"/>
          <w:sz w:val="24"/>
          <w:szCs w:val="24"/>
        </w:rPr>
        <w:t xml:space="preserve"> </w:t>
      </w:r>
      <w:r w:rsidRPr="00EC5C3C">
        <w:rPr>
          <w:sz w:val="24"/>
          <w:szCs w:val="24"/>
        </w:rPr>
        <w:t>Decembrie</w:t>
      </w:r>
      <w:r w:rsidRPr="00EC5C3C">
        <w:rPr>
          <w:color w:val="000000" w:themeColor="text1"/>
          <w:sz w:val="24"/>
          <w:szCs w:val="24"/>
        </w:rPr>
        <w:t xml:space="preserve"> 202</w:t>
      </w:r>
      <w:r w:rsidR="005B2EA6">
        <w:rPr>
          <w:color w:val="000000" w:themeColor="text1"/>
          <w:sz w:val="24"/>
          <w:szCs w:val="24"/>
        </w:rPr>
        <w:t>4</w:t>
      </w:r>
      <w:r w:rsidRPr="00EC5C3C">
        <w:rPr>
          <w:color w:val="000000" w:themeColor="text1"/>
          <w:sz w:val="24"/>
          <w:szCs w:val="24"/>
        </w:rPr>
        <w:t xml:space="preserve"> </w:t>
      </w:r>
      <w:r w:rsidRPr="00EC5C3C">
        <w:rPr>
          <w:sz w:val="24"/>
          <w:szCs w:val="24"/>
        </w:rPr>
        <w:t>raportăm următoarele aspecte: Cu privire la evoluţia numărului de asistenţi personali şi a sumelor suportate din bugetul local reprezentând salariile acestora, situaţia lunară se prezintă astfel:</w:t>
      </w:r>
    </w:p>
    <w:p w14:paraId="57EB1FF7" w14:textId="77777777" w:rsidR="00EC5C3C" w:rsidRPr="00844BC5" w:rsidRDefault="00EC5C3C" w:rsidP="00EC5C3C">
      <w:pPr>
        <w:ind w:firstLine="708"/>
      </w:pPr>
    </w:p>
    <w:p w14:paraId="72361BEC" w14:textId="77777777" w:rsidR="00EC5C3C" w:rsidRPr="00844BC5" w:rsidRDefault="00EC5C3C" w:rsidP="00EC5C3C">
      <w:pPr>
        <w:ind w:firstLine="708"/>
      </w:pPr>
    </w:p>
    <w:tbl>
      <w:tblPr>
        <w:tblStyle w:val="TableGrid"/>
        <w:tblW w:w="0" w:type="auto"/>
        <w:tblLook w:val="04A0" w:firstRow="1" w:lastRow="0" w:firstColumn="1" w:lastColumn="0" w:noHBand="0" w:noVBand="1"/>
      </w:tblPr>
      <w:tblGrid>
        <w:gridCol w:w="1526"/>
        <w:gridCol w:w="1127"/>
        <w:gridCol w:w="1327"/>
        <w:gridCol w:w="1327"/>
        <w:gridCol w:w="1327"/>
        <w:gridCol w:w="1327"/>
        <w:gridCol w:w="1327"/>
      </w:tblGrid>
      <w:tr w:rsidR="00EC5C3C" w:rsidRPr="00844BC5" w14:paraId="07D2C8C8" w14:textId="77777777" w:rsidTr="008A4557">
        <w:tc>
          <w:tcPr>
            <w:tcW w:w="1526" w:type="dxa"/>
          </w:tcPr>
          <w:p w14:paraId="20DA1ABB" w14:textId="77777777" w:rsidR="00EC5C3C" w:rsidRPr="00844BC5" w:rsidRDefault="00EC5C3C" w:rsidP="008A4557">
            <w:pPr>
              <w:jc w:val="center"/>
            </w:pPr>
            <w:r w:rsidRPr="00844BC5">
              <w:t>Luna</w:t>
            </w:r>
          </w:p>
        </w:tc>
        <w:tc>
          <w:tcPr>
            <w:tcW w:w="1127" w:type="dxa"/>
          </w:tcPr>
          <w:p w14:paraId="6A404449" w14:textId="77777777" w:rsidR="00EC5C3C" w:rsidRPr="00844BC5" w:rsidRDefault="00EC5C3C" w:rsidP="008A4557">
            <w:pPr>
              <w:jc w:val="center"/>
            </w:pPr>
            <w:r w:rsidRPr="00844BC5">
              <w:t xml:space="preserve">Iulie </w:t>
            </w:r>
          </w:p>
        </w:tc>
        <w:tc>
          <w:tcPr>
            <w:tcW w:w="1327" w:type="dxa"/>
          </w:tcPr>
          <w:p w14:paraId="3E8881E1" w14:textId="77777777" w:rsidR="00EC5C3C" w:rsidRPr="00844BC5" w:rsidRDefault="00EC5C3C" w:rsidP="008A4557">
            <w:pPr>
              <w:jc w:val="center"/>
            </w:pPr>
            <w:r w:rsidRPr="00844BC5">
              <w:t>August</w:t>
            </w:r>
          </w:p>
        </w:tc>
        <w:tc>
          <w:tcPr>
            <w:tcW w:w="1327" w:type="dxa"/>
          </w:tcPr>
          <w:p w14:paraId="15EB7B05" w14:textId="77777777" w:rsidR="00EC5C3C" w:rsidRPr="00844BC5" w:rsidRDefault="00EC5C3C" w:rsidP="008A4557">
            <w:pPr>
              <w:jc w:val="center"/>
            </w:pPr>
            <w:r w:rsidRPr="00844BC5">
              <w:t>Septembrie</w:t>
            </w:r>
          </w:p>
        </w:tc>
        <w:tc>
          <w:tcPr>
            <w:tcW w:w="1327" w:type="dxa"/>
          </w:tcPr>
          <w:p w14:paraId="05DB1FF9" w14:textId="77777777" w:rsidR="00EC5C3C" w:rsidRPr="00844BC5" w:rsidRDefault="00EC5C3C" w:rsidP="008A4557">
            <w:pPr>
              <w:jc w:val="center"/>
            </w:pPr>
            <w:r w:rsidRPr="00844BC5">
              <w:t xml:space="preserve">Octombrie </w:t>
            </w:r>
          </w:p>
        </w:tc>
        <w:tc>
          <w:tcPr>
            <w:tcW w:w="1327" w:type="dxa"/>
          </w:tcPr>
          <w:p w14:paraId="42664CED" w14:textId="77777777" w:rsidR="00EC5C3C" w:rsidRPr="00844BC5" w:rsidRDefault="00EC5C3C" w:rsidP="008A4557">
            <w:pPr>
              <w:jc w:val="center"/>
            </w:pPr>
            <w:r w:rsidRPr="00844BC5">
              <w:t>Noiembrie</w:t>
            </w:r>
          </w:p>
        </w:tc>
        <w:tc>
          <w:tcPr>
            <w:tcW w:w="1327" w:type="dxa"/>
          </w:tcPr>
          <w:p w14:paraId="69A20626" w14:textId="77777777" w:rsidR="00EC5C3C" w:rsidRPr="00844BC5" w:rsidRDefault="00EC5C3C" w:rsidP="008A4557">
            <w:pPr>
              <w:jc w:val="center"/>
            </w:pPr>
            <w:r w:rsidRPr="00844BC5">
              <w:t>Decembrie</w:t>
            </w:r>
          </w:p>
        </w:tc>
      </w:tr>
      <w:tr w:rsidR="003B53EF" w:rsidRPr="005B2EA6" w14:paraId="682B608E" w14:textId="77777777" w:rsidTr="008A4557">
        <w:tc>
          <w:tcPr>
            <w:tcW w:w="1526" w:type="dxa"/>
          </w:tcPr>
          <w:p w14:paraId="3C6D667D" w14:textId="77777777" w:rsidR="003B53EF" w:rsidRPr="005B2EA6" w:rsidRDefault="003B53EF" w:rsidP="003B53EF">
            <w:pPr>
              <w:jc w:val="center"/>
              <w:rPr>
                <w:color w:val="FF0000"/>
              </w:rPr>
            </w:pPr>
            <w:r w:rsidRPr="003B53EF">
              <w:t>Nr. contracte</w:t>
            </w:r>
          </w:p>
        </w:tc>
        <w:tc>
          <w:tcPr>
            <w:tcW w:w="1127" w:type="dxa"/>
          </w:tcPr>
          <w:p w14:paraId="4C01AE57" w14:textId="52425DB2" w:rsidR="003B53EF" w:rsidRPr="005B2EA6" w:rsidRDefault="003B53EF" w:rsidP="003B53EF">
            <w:pPr>
              <w:jc w:val="center"/>
              <w:rPr>
                <w:color w:val="FF0000"/>
              </w:rPr>
            </w:pPr>
            <w:r w:rsidRPr="00844BC5">
              <w:t>1</w:t>
            </w:r>
            <w:r>
              <w:t>4</w:t>
            </w:r>
          </w:p>
        </w:tc>
        <w:tc>
          <w:tcPr>
            <w:tcW w:w="1327" w:type="dxa"/>
          </w:tcPr>
          <w:p w14:paraId="778A0CC7" w14:textId="57114490" w:rsidR="003B53EF" w:rsidRPr="005B2EA6" w:rsidRDefault="003B53EF" w:rsidP="003B53EF">
            <w:pPr>
              <w:jc w:val="center"/>
              <w:rPr>
                <w:color w:val="FF0000"/>
              </w:rPr>
            </w:pPr>
            <w:r w:rsidRPr="00844BC5">
              <w:t>1</w:t>
            </w:r>
            <w:r>
              <w:t>4</w:t>
            </w:r>
          </w:p>
        </w:tc>
        <w:tc>
          <w:tcPr>
            <w:tcW w:w="1327" w:type="dxa"/>
          </w:tcPr>
          <w:p w14:paraId="061931F2" w14:textId="4C802C6B" w:rsidR="003B53EF" w:rsidRPr="005B2EA6" w:rsidRDefault="003B53EF" w:rsidP="003B53EF">
            <w:pPr>
              <w:jc w:val="center"/>
              <w:rPr>
                <w:color w:val="FF0000"/>
              </w:rPr>
            </w:pPr>
            <w:r w:rsidRPr="00844BC5">
              <w:t>1</w:t>
            </w:r>
            <w:r>
              <w:t>5</w:t>
            </w:r>
          </w:p>
        </w:tc>
        <w:tc>
          <w:tcPr>
            <w:tcW w:w="1327" w:type="dxa"/>
          </w:tcPr>
          <w:p w14:paraId="0F9DC9F0" w14:textId="6C34D21F" w:rsidR="003B53EF" w:rsidRPr="005B2EA6" w:rsidRDefault="003B53EF" w:rsidP="003B53EF">
            <w:pPr>
              <w:jc w:val="center"/>
              <w:rPr>
                <w:color w:val="FF0000"/>
              </w:rPr>
            </w:pPr>
            <w:r w:rsidRPr="00844BC5">
              <w:t>1</w:t>
            </w:r>
            <w:r>
              <w:t>5</w:t>
            </w:r>
          </w:p>
        </w:tc>
        <w:tc>
          <w:tcPr>
            <w:tcW w:w="1327" w:type="dxa"/>
          </w:tcPr>
          <w:p w14:paraId="3358B86E" w14:textId="416DD384" w:rsidR="003B53EF" w:rsidRPr="005B2EA6" w:rsidRDefault="003B53EF" w:rsidP="003B53EF">
            <w:pPr>
              <w:jc w:val="center"/>
              <w:rPr>
                <w:color w:val="FF0000"/>
              </w:rPr>
            </w:pPr>
            <w:r w:rsidRPr="00844BC5">
              <w:t>1</w:t>
            </w:r>
            <w:r>
              <w:t>5</w:t>
            </w:r>
          </w:p>
        </w:tc>
        <w:tc>
          <w:tcPr>
            <w:tcW w:w="1327" w:type="dxa"/>
          </w:tcPr>
          <w:p w14:paraId="6DA82F4C" w14:textId="2D584A4B" w:rsidR="003B53EF" w:rsidRPr="005B2EA6" w:rsidRDefault="003B53EF" w:rsidP="003B53EF">
            <w:pPr>
              <w:jc w:val="center"/>
              <w:rPr>
                <w:color w:val="FF0000"/>
              </w:rPr>
            </w:pPr>
            <w:r w:rsidRPr="00844BC5">
              <w:t>1</w:t>
            </w:r>
            <w:r>
              <w:t>5</w:t>
            </w:r>
          </w:p>
        </w:tc>
      </w:tr>
    </w:tbl>
    <w:p w14:paraId="632421CB" w14:textId="77777777" w:rsidR="00EC5C3C" w:rsidRPr="005B2EA6" w:rsidRDefault="00EC5C3C" w:rsidP="00EC5C3C">
      <w:pPr>
        <w:ind w:firstLine="708"/>
        <w:rPr>
          <w:color w:val="FF0000"/>
        </w:rPr>
      </w:pPr>
    </w:p>
    <w:p w14:paraId="7C314C66" w14:textId="77777777" w:rsidR="00EC5C3C" w:rsidRPr="00EC5C3C" w:rsidRDefault="00EC5C3C" w:rsidP="00EC5C3C">
      <w:pPr>
        <w:ind w:firstLine="708"/>
        <w:jc w:val="both"/>
        <w:rPr>
          <w:sz w:val="24"/>
          <w:szCs w:val="24"/>
        </w:rPr>
      </w:pPr>
      <w:r w:rsidRPr="00EC5C3C">
        <w:rPr>
          <w:sz w:val="24"/>
          <w:szCs w:val="24"/>
        </w:rPr>
        <w:t xml:space="preserve">Cu privire la evoluţia numărului de persoane cu handicap grav care au optat pentru acordarea de indemnizaţie, situaţia lunară se prezintă astfel : </w:t>
      </w:r>
    </w:p>
    <w:p w14:paraId="0A4CD53A" w14:textId="77777777" w:rsidR="00EC5C3C" w:rsidRPr="00844BC5" w:rsidRDefault="00EC5C3C" w:rsidP="00EC5C3C">
      <w:pPr>
        <w:ind w:firstLine="708"/>
      </w:pPr>
    </w:p>
    <w:tbl>
      <w:tblPr>
        <w:tblStyle w:val="TableGrid"/>
        <w:tblW w:w="0" w:type="auto"/>
        <w:tblLook w:val="04A0" w:firstRow="1" w:lastRow="0" w:firstColumn="1" w:lastColumn="0" w:noHBand="0" w:noVBand="1"/>
      </w:tblPr>
      <w:tblGrid>
        <w:gridCol w:w="1801"/>
        <w:gridCol w:w="937"/>
        <w:gridCol w:w="1310"/>
        <w:gridCol w:w="1310"/>
        <w:gridCol w:w="1310"/>
        <w:gridCol w:w="1310"/>
        <w:gridCol w:w="1310"/>
      </w:tblGrid>
      <w:tr w:rsidR="00EC5C3C" w:rsidRPr="00844BC5" w14:paraId="577980E1" w14:textId="77777777" w:rsidTr="008A4557">
        <w:tc>
          <w:tcPr>
            <w:tcW w:w="1801" w:type="dxa"/>
          </w:tcPr>
          <w:p w14:paraId="409CC266" w14:textId="77777777" w:rsidR="00EC5C3C" w:rsidRPr="00844BC5" w:rsidRDefault="00EC5C3C" w:rsidP="008A4557">
            <w:pPr>
              <w:jc w:val="center"/>
            </w:pPr>
            <w:r w:rsidRPr="00844BC5">
              <w:t>Luna</w:t>
            </w:r>
          </w:p>
        </w:tc>
        <w:tc>
          <w:tcPr>
            <w:tcW w:w="937" w:type="dxa"/>
          </w:tcPr>
          <w:p w14:paraId="58DAA2F6" w14:textId="77777777" w:rsidR="00EC5C3C" w:rsidRPr="00844BC5" w:rsidRDefault="00EC5C3C" w:rsidP="008A4557">
            <w:pPr>
              <w:jc w:val="center"/>
            </w:pPr>
            <w:r w:rsidRPr="00844BC5">
              <w:t>Iulie</w:t>
            </w:r>
          </w:p>
        </w:tc>
        <w:tc>
          <w:tcPr>
            <w:tcW w:w="1310" w:type="dxa"/>
          </w:tcPr>
          <w:p w14:paraId="56AAA463" w14:textId="77777777" w:rsidR="00EC5C3C" w:rsidRPr="00844BC5" w:rsidRDefault="00EC5C3C" w:rsidP="008A4557">
            <w:pPr>
              <w:jc w:val="center"/>
            </w:pPr>
            <w:r w:rsidRPr="00844BC5">
              <w:t>August</w:t>
            </w:r>
          </w:p>
        </w:tc>
        <w:tc>
          <w:tcPr>
            <w:tcW w:w="1310" w:type="dxa"/>
          </w:tcPr>
          <w:p w14:paraId="6B714ED1" w14:textId="77777777" w:rsidR="00EC5C3C" w:rsidRPr="00844BC5" w:rsidRDefault="00EC5C3C" w:rsidP="008A4557">
            <w:pPr>
              <w:jc w:val="center"/>
            </w:pPr>
            <w:r w:rsidRPr="00844BC5">
              <w:t>Septembrie</w:t>
            </w:r>
          </w:p>
        </w:tc>
        <w:tc>
          <w:tcPr>
            <w:tcW w:w="1310" w:type="dxa"/>
          </w:tcPr>
          <w:p w14:paraId="74E9947E" w14:textId="77777777" w:rsidR="00EC5C3C" w:rsidRPr="00844BC5" w:rsidRDefault="00EC5C3C" w:rsidP="008A4557">
            <w:pPr>
              <w:jc w:val="center"/>
            </w:pPr>
            <w:r w:rsidRPr="00844BC5">
              <w:t>Octombrie</w:t>
            </w:r>
          </w:p>
        </w:tc>
        <w:tc>
          <w:tcPr>
            <w:tcW w:w="1310" w:type="dxa"/>
          </w:tcPr>
          <w:p w14:paraId="3FF2AD9E" w14:textId="77777777" w:rsidR="00EC5C3C" w:rsidRPr="00844BC5" w:rsidRDefault="00EC5C3C" w:rsidP="008A4557">
            <w:pPr>
              <w:jc w:val="center"/>
            </w:pPr>
            <w:r w:rsidRPr="00844BC5">
              <w:t>Noiembrie</w:t>
            </w:r>
          </w:p>
        </w:tc>
        <w:tc>
          <w:tcPr>
            <w:tcW w:w="1310" w:type="dxa"/>
          </w:tcPr>
          <w:p w14:paraId="5BFB6C60" w14:textId="77777777" w:rsidR="00EC5C3C" w:rsidRPr="00844BC5" w:rsidRDefault="00EC5C3C" w:rsidP="008A4557">
            <w:pPr>
              <w:jc w:val="center"/>
            </w:pPr>
            <w:r w:rsidRPr="00844BC5">
              <w:t>Decembrie</w:t>
            </w:r>
          </w:p>
        </w:tc>
      </w:tr>
      <w:tr w:rsidR="003B53EF" w:rsidRPr="00844BC5" w14:paraId="06DC15B3" w14:textId="77777777" w:rsidTr="008A4557">
        <w:tc>
          <w:tcPr>
            <w:tcW w:w="1801" w:type="dxa"/>
          </w:tcPr>
          <w:p w14:paraId="6B52280E" w14:textId="77777777" w:rsidR="003B53EF" w:rsidRPr="005B2EA6" w:rsidRDefault="003B53EF" w:rsidP="003B53EF">
            <w:pPr>
              <w:jc w:val="center"/>
              <w:rPr>
                <w:color w:val="FF0000"/>
              </w:rPr>
            </w:pPr>
            <w:r w:rsidRPr="003B53EF">
              <w:t>Nr. Indemnizații</w:t>
            </w:r>
          </w:p>
        </w:tc>
        <w:tc>
          <w:tcPr>
            <w:tcW w:w="937" w:type="dxa"/>
          </w:tcPr>
          <w:p w14:paraId="49D785A4" w14:textId="56B2D8CB" w:rsidR="003B53EF" w:rsidRPr="005B2EA6" w:rsidRDefault="003B53EF" w:rsidP="003B53EF">
            <w:pPr>
              <w:jc w:val="center"/>
              <w:rPr>
                <w:color w:val="FF0000"/>
              </w:rPr>
            </w:pPr>
            <w:r w:rsidRPr="00844BC5">
              <w:t>1</w:t>
            </w:r>
            <w:r>
              <w:t>5</w:t>
            </w:r>
          </w:p>
        </w:tc>
        <w:tc>
          <w:tcPr>
            <w:tcW w:w="1310" w:type="dxa"/>
          </w:tcPr>
          <w:p w14:paraId="6C2EB56C" w14:textId="2633C06F" w:rsidR="003B53EF" w:rsidRPr="005B2EA6" w:rsidRDefault="003B53EF" w:rsidP="003B53EF">
            <w:pPr>
              <w:jc w:val="center"/>
              <w:rPr>
                <w:color w:val="FF0000"/>
              </w:rPr>
            </w:pPr>
            <w:r w:rsidRPr="00844BC5">
              <w:t>1</w:t>
            </w:r>
            <w:r>
              <w:t>6</w:t>
            </w:r>
          </w:p>
        </w:tc>
        <w:tc>
          <w:tcPr>
            <w:tcW w:w="1310" w:type="dxa"/>
          </w:tcPr>
          <w:p w14:paraId="56F2F010" w14:textId="2A6A3040" w:rsidR="003B53EF" w:rsidRPr="005B2EA6" w:rsidRDefault="003B53EF" w:rsidP="003B53EF">
            <w:pPr>
              <w:jc w:val="center"/>
              <w:rPr>
                <w:color w:val="FF0000"/>
              </w:rPr>
            </w:pPr>
            <w:r w:rsidRPr="00844BC5">
              <w:t>1</w:t>
            </w:r>
            <w:r>
              <w:t>6</w:t>
            </w:r>
          </w:p>
        </w:tc>
        <w:tc>
          <w:tcPr>
            <w:tcW w:w="1310" w:type="dxa"/>
          </w:tcPr>
          <w:p w14:paraId="40F06B28" w14:textId="46C9DD7E" w:rsidR="003B53EF" w:rsidRPr="005B2EA6" w:rsidRDefault="003B53EF" w:rsidP="003B53EF">
            <w:pPr>
              <w:jc w:val="center"/>
              <w:rPr>
                <w:color w:val="FF0000"/>
              </w:rPr>
            </w:pPr>
            <w:r w:rsidRPr="00844BC5">
              <w:t>1</w:t>
            </w:r>
            <w:r>
              <w:t>5</w:t>
            </w:r>
          </w:p>
        </w:tc>
        <w:tc>
          <w:tcPr>
            <w:tcW w:w="1310" w:type="dxa"/>
          </w:tcPr>
          <w:p w14:paraId="624BB319" w14:textId="4943073C" w:rsidR="003B53EF" w:rsidRPr="005B2EA6" w:rsidRDefault="003B53EF" w:rsidP="003B53EF">
            <w:pPr>
              <w:jc w:val="center"/>
              <w:rPr>
                <w:color w:val="FF0000"/>
              </w:rPr>
            </w:pPr>
            <w:r>
              <w:t>14</w:t>
            </w:r>
          </w:p>
        </w:tc>
        <w:tc>
          <w:tcPr>
            <w:tcW w:w="1310" w:type="dxa"/>
          </w:tcPr>
          <w:p w14:paraId="0D22B08F" w14:textId="2B79682F" w:rsidR="003B53EF" w:rsidRPr="005B2EA6" w:rsidRDefault="003B53EF" w:rsidP="003B53EF">
            <w:pPr>
              <w:jc w:val="center"/>
              <w:rPr>
                <w:color w:val="FF0000"/>
              </w:rPr>
            </w:pPr>
            <w:r>
              <w:t>14</w:t>
            </w:r>
          </w:p>
        </w:tc>
      </w:tr>
    </w:tbl>
    <w:p w14:paraId="44392CE6" w14:textId="77777777" w:rsidR="00EC5C3C" w:rsidRPr="00844BC5" w:rsidRDefault="00EC5C3C" w:rsidP="00EC5C3C">
      <w:pPr>
        <w:ind w:firstLine="708"/>
      </w:pPr>
    </w:p>
    <w:p w14:paraId="227781BC" w14:textId="77777777" w:rsidR="006D429B" w:rsidRDefault="00EC5C3C" w:rsidP="006D429B">
      <w:pPr>
        <w:ind w:firstLine="708"/>
        <w:jc w:val="both"/>
        <w:rPr>
          <w:sz w:val="24"/>
          <w:szCs w:val="24"/>
        </w:rPr>
      </w:pPr>
      <w:r w:rsidRPr="00EC5C3C">
        <w:rPr>
          <w:sz w:val="24"/>
          <w:szCs w:val="24"/>
        </w:rPr>
        <w:t xml:space="preserve">În temeiul art. 37, alin. (2) </w:t>
      </w:r>
      <w:r w:rsidR="006D429B">
        <w:rPr>
          <w:sz w:val="24"/>
          <w:szCs w:val="24"/>
        </w:rPr>
        <w:t>ș</w:t>
      </w:r>
      <w:r w:rsidRPr="00EC5C3C">
        <w:rPr>
          <w:sz w:val="24"/>
          <w:szCs w:val="24"/>
        </w:rPr>
        <w:t xml:space="preserve">i (3) </w:t>
      </w:r>
      <w:r w:rsidRPr="006D429B">
        <w:rPr>
          <w:i/>
          <w:iCs/>
          <w:sz w:val="24"/>
          <w:szCs w:val="24"/>
        </w:rPr>
        <w:t>“pe perioada concediului de odihnă, angajatorul are obligaţia de a asigura persoanei cu handicap grav un înlocuitor al asistentului personal, inclusiv în cazul în care asistentul personal este rudă până la gradul al IV – le-a inclusiv a acesteia”</w:t>
      </w:r>
      <w:r w:rsidRPr="00EC5C3C">
        <w:rPr>
          <w:sz w:val="24"/>
          <w:szCs w:val="24"/>
        </w:rPr>
        <w:t xml:space="preserve">, iar </w:t>
      </w:r>
      <w:r w:rsidRPr="006D429B">
        <w:rPr>
          <w:i/>
          <w:iCs/>
          <w:sz w:val="24"/>
          <w:szCs w:val="24"/>
        </w:rPr>
        <w:t>“în situaţia în care angajatorul nu poate asigura un înlocuitor al asistentului personal, persoanei cu handicap grav i se acordă o indemnizaţie echivalentă cu salariul net al</w:t>
      </w:r>
      <w:r w:rsidR="006D429B" w:rsidRPr="006D429B">
        <w:rPr>
          <w:i/>
          <w:iCs/>
          <w:sz w:val="24"/>
          <w:szCs w:val="24"/>
        </w:rPr>
        <w:t xml:space="preserve"> </w:t>
      </w:r>
      <w:r w:rsidRPr="006D429B">
        <w:rPr>
          <w:i/>
          <w:iCs/>
          <w:sz w:val="24"/>
          <w:szCs w:val="24"/>
        </w:rPr>
        <w:t>asistentului personal sau găzduirea într-un centru de tip respiro.”</w:t>
      </w:r>
      <w:r w:rsidRPr="00EC5C3C">
        <w:rPr>
          <w:sz w:val="24"/>
          <w:szCs w:val="24"/>
        </w:rPr>
        <w:t xml:space="preserve"> </w:t>
      </w:r>
    </w:p>
    <w:p w14:paraId="465F6A0C" w14:textId="77777777" w:rsidR="006D429B" w:rsidRDefault="00EC5C3C" w:rsidP="006D429B">
      <w:pPr>
        <w:ind w:firstLine="708"/>
        <w:jc w:val="both"/>
        <w:rPr>
          <w:sz w:val="24"/>
          <w:szCs w:val="24"/>
        </w:rPr>
      </w:pPr>
      <w:r w:rsidRPr="00EC5C3C">
        <w:rPr>
          <w:sz w:val="24"/>
          <w:szCs w:val="24"/>
        </w:rPr>
        <w:t xml:space="preserve">În acest context, trebuie amintit faptul ca la nivelul </w:t>
      </w:r>
      <w:r w:rsidR="006D429B">
        <w:rPr>
          <w:sz w:val="24"/>
          <w:szCs w:val="24"/>
        </w:rPr>
        <w:t>C</w:t>
      </w:r>
      <w:r w:rsidRPr="00EC5C3C">
        <w:rPr>
          <w:sz w:val="24"/>
          <w:szCs w:val="24"/>
        </w:rPr>
        <w:t xml:space="preserve">omunei Poiana Mărului nu există unităţi de asistenţă medico – socială de tip rezidenţial, iar capacitatea celor existente pe teritoriul judeţului este cu mult depăşită. Menţionăm de asemenea ca, în evidenţele instituţiei noastre nu sunt înregistrate cereri prin care se solicită angajarea pe perioada concediilor de odihnă a asistenţilor personali, iar pe </w:t>
      </w:r>
      <w:r w:rsidRPr="00EC5C3C">
        <w:rPr>
          <w:sz w:val="24"/>
          <w:szCs w:val="24"/>
        </w:rPr>
        <w:lastRenderedPageBreak/>
        <w:t xml:space="preserve">de altă parte, persoanele încadrate în grad de handicap nu doresc să beneficieze de îngrijire din partea altui asistent personal. </w:t>
      </w:r>
    </w:p>
    <w:p w14:paraId="76B914B1" w14:textId="0B50DF19" w:rsidR="00EC5C3C" w:rsidRPr="00EC5C3C" w:rsidRDefault="00EC5C3C" w:rsidP="006D429B">
      <w:pPr>
        <w:ind w:firstLine="708"/>
        <w:jc w:val="both"/>
        <w:rPr>
          <w:sz w:val="24"/>
          <w:szCs w:val="24"/>
        </w:rPr>
      </w:pPr>
      <w:r w:rsidRPr="00EC5C3C">
        <w:rPr>
          <w:sz w:val="24"/>
          <w:szCs w:val="24"/>
        </w:rPr>
        <w:t>Cu privire la evoluţia numărului de asistenţi personali care au beneficiat de concediu de odihnă şi a sumelor suportate din bugetul local reprezentând indemnizaţiile cuvenite persoanelor cu handicap grav pe perioada acestuia, în cursul anului 202</w:t>
      </w:r>
      <w:r w:rsidR="005B2EA6">
        <w:rPr>
          <w:sz w:val="24"/>
          <w:szCs w:val="24"/>
        </w:rPr>
        <w:t>4</w:t>
      </w:r>
      <w:r w:rsidRPr="00EC5C3C">
        <w:rPr>
          <w:sz w:val="24"/>
          <w:szCs w:val="24"/>
        </w:rPr>
        <w:t xml:space="preserve"> toţi asistenţii personali au beneficiat de concediu de odihnă prevăzut de Codul Muncii.</w:t>
      </w:r>
    </w:p>
    <w:p w14:paraId="2768338A" w14:textId="77777777" w:rsidR="006D429B" w:rsidRDefault="00EC5C3C" w:rsidP="00EC5C3C">
      <w:pPr>
        <w:ind w:firstLine="708"/>
        <w:jc w:val="both"/>
        <w:rPr>
          <w:sz w:val="24"/>
          <w:szCs w:val="24"/>
        </w:rPr>
      </w:pPr>
      <w:r w:rsidRPr="00EC5C3C">
        <w:rPr>
          <w:sz w:val="24"/>
          <w:szCs w:val="24"/>
        </w:rPr>
        <w:t xml:space="preserve">Potrivit prevederilor art. 38, lit. a) din Legea nr. 448/2006, </w:t>
      </w:r>
      <w:r w:rsidR="006D429B" w:rsidRPr="006D429B">
        <w:rPr>
          <w:i/>
          <w:iCs/>
          <w:sz w:val="24"/>
          <w:szCs w:val="24"/>
        </w:rPr>
        <w:t>”</w:t>
      </w:r>
      <w:r w:rsidRPr="006D429B">
        <w:rPr>
          <w:i/>
          <w:iCs/>
          <w:sz w:val="24"/>
          <w:szCs w:val="24"/>
        </w:rPr>
        <w:t>autorităţile publice locale au obligaţia să asigure gratuit instruirea asistenţilor personali</w:t>
      </w:r>
      <w:r w:rsidR="006D429B" w:rsidRPr="006D429B">
        <w:rPr>
          <w:i/>
          <w:iCs/>
          <w:sz w:val="24"/>
          <w:szCs w:val="24"/>
        </w:rPr>
        <w:t>”</w:t>
      </w:r>
      <w:r w:rsidRPr="00EC5C3C">
        <w:rPr>
          <w:sz w:val="24"/>
          <w:szCs w:val="24"/>
        </w:rPr>
        <w:t xml:space="preserve">. </w:t>
      </w:r>
    </w:p>
    <w:p w14:paraId="06C53976" w14:textId="77777777" w:rsidR="006D429B" w:rsidRDefault="00EC5C3C" w:rsidP="006D429B">
      <w:pPr>
        <w:ind w:firstLine="708"/>
        <w:jc w:val="both"/>
        <w:rPr>
          <w:sz w:val="24"/>
          <w:szCs w:val="24"/>
        </w:rPr>
      </w:pPr>
      <w:r w:rsidRPr="00EC5C3C">
        <w:rPr>
          <w:sz w:val="24"/>
          <w:szCs w:val="24"/>
        </w:rPr>
        <w:t xml:space="preserve">Administraţia </w:t>
      </w:r>
      <w:r w:rsidR="006D429B">
        <w:rPr>
          <w:sz w:val="24"/>
          <w:szCs w:val="24"/>
        </w:rPr>
        <w:t>C</w:t>
      </w:r>
      <w:r w:rsidRPr="00EC5C3C">
        <w:rPr>
          <w:sz w:val="24"/>
          <w:szCs w:val="24"/>
        </w:rPr>
        <w:t xml:space="preserve">omunei Poiana Mărului a întreprins demersurile necesare pentru aplicarea în bune condiţii a acestor prevederi legale, în sensul </w:t>
      </w:r>
      <w:r w:rsidR="006D429B">
        <w:rPr>
          <w:sz w:val="24"/>
          <w:szCs w:val="24"/>
        </w:rPr>
        <w:t>i</w:t>
      </w:r>
      <w:r w:rsidRPr="00EC5C3C">
        <w:rPr>
          <w:sz w:val="24"/>
          <w:szCs w:val="24"/>
        </w:rPr>
        <w:t xml:space="preserve">nstruirii asistenţilor personali ai persoanelor cu handicap grav, instruire ce s-a realizat în data </w:t>
      </w:r>
      <w:r w:rsidRPr="003B53EF">
        <w:rPr>
          <w:sz w:val="24"/>
          <w:szCs w:val="24"/>
        </w:rPr>
        <w:t xml:space="preserve">de 31.03.2022. </w:t>
      </w:r>
    </w:p>
    <w:p w14:paraId="7E44DE36" w14:textId="77777777" w:rsidR="006D429B" w:rsidRDefault="00EC5C3C" w:rsidP="006D429B">
      <w:pPr>
        <w:ind w:firstLine="708"/>
        <w:jc w:val="both"/>
        <w:rPr>
          <w:sz w:val="24"/>
          <w:szCs w:val="24"/>
        </w:rPr>
      </w:pPr>
      <w:r w:rsidRPr="00EC5C3C">
        <w:rPr>
          <w:sz w:val="24"/>
          <w:szCs w:val="24"/>
        </w:rPr>
        <w:t>O altă obligaţie stabilit</w:t>
      </w:r>
      <w:r w:rsidR="006D429B">
        <w:rPr>
          <w:sz w:val="24"/>
          <w:szCs w:val="24"/>
        </w:rPr>
        <w:t>ă</w:t>
      </w:r>
      <w:r w:rsidRPr="00EC5C3C">
        <w:rPr>
          <w:sz w:val="24"/>
          <w:szCs w:val="24"/>
        </w:rPr>
        <w:t xml:space="preserve"> de art. 40 alin. (2) din Legea nr. 448/2006 este aceea ca </w:t>
      </w:r>
      <w:r w:rsidRPr="006D429B">
        <w:rPr>
          <w:i/>
          <w:iCs/>
          <w:sz w:val="24"/>
          <w:szCs w:val="24"/>
        </w:rPr>
        <w:t>“serviciul public de asistenţa socială dispune efectuarea de controale periodice asupra activităţii asistenţilor personali.”</w:t>
      </w:r>
      <w:r w:rsidRPr="00EC5C3C">
        <w:rPr>
          <w:sz w:val="24"/>
          <w:szCs w:val="24"/>
        </w:rPr>
        <w:t xml:space="preserve"> </w:t>
      </w:r>
    </w:p>
    <w:p w14:paraId="1BBF9C45" w14:textId="1345C856" w:rsidR="00EC5C3C" w:rsidRPr="00844BC5" w:rsidRDefault="00EC5C3C" w:rsidP="006D429B">
      <w:pPr>
        <w:ind w:firstLine="708"/>
        <w:jc w:val="both"/>
      </w:pPr>
      <w:r w:rsidRPr="00EC5C3C">
        <w:rPr>
          <w:sz w:val="24"/>
          <w:szCs w:val="24"/>
        </w:rPr>
        <w:t>De asemenea, asistenţii personali au obligaţia de a prezenta semestrial un raport privind activitatea desfăşurată, vizat de către persoana cu handicap sau reprezentantul acesteia. Pentru actualizarea permanentă a bazei de date, la depunerea raportului de activitate, asistentul personal va prezenta atât actul său de identitate, cât şi cel al persoanei cu handicap. Menţionăm c</w:t>
      </w:r>
      <w:r w:rsidR="006D429B">
        <w:rPr>
          <w:sz w:val="24"/>
          <w:szCs w:val="24"/>
        </w:rPr>
        <w:t>ă</w:t>
      </w:r>
      <w:r w:rsidRPr="00EC5C3C">
        <w:rPr>
          <w:sz w:val="24"/>
          <w:szCs w:val="24"/>
        </w:rPr>
        <w:t xml:space="preserve"> în perioada iulie 202</w:t>
      </w:r>
      <w:r w:rsidR="005B2EA6">
        <w:rPr>
          <w:sz w:val="24"/>
          <w:szCs w:val="24"/>
        </w:rPr>
        <w:t>4</w:t>
      </w:r>
      <w:r w:rsidRPr="00EC5C3C">
        <w:rPr>
          <w:sz w:val="24"/>
          <w:szCs w:val="24"/>
        </w:rPr>
        <w:t xml:space="preserve"> – decembrie 202</w:t>
      </w:r>
      <w:r w:rsidR="005B2EA6">
        <w:rPr>
          <w:sz w:val="24"/>
          <w:szCs w:val="24"/>
        </w:rPr>
        <w:t>4</w:t>
      </w:r>
      <w:r w:rsidRPr="00EC5C3C">
        <w:rPr>
          <w:sz w:val="24"/>
          <w:szCs w:val="24"/>
        </w:rPr>
        <w:t>, nu s-au constata probleme deosebite, de natură să impună încetarea contractului de muncă a asistentului personal.</w:t>
      </w:r>
      <w:bookmarkEnd w:id="0"/>
    </w:p>
    <w:p w14:paraId="759408C1" w14:textId="708736A2" w:rsidR="00EC5C3C" w:rsidRDefault="00EC5C3C" w:rsidP="00715D7F">
      <w:pPr>
        <w:autoSpaceDE w:val="0"/>
        <w:jc w:val="center"/>
        <w:rPr>
          <w:rFonts w:cs="Arial"/>
          <w:b/>
          <w:sz w:val="24"/>
          <w:szCs w:val="24"/>
          <w:lang w:val="it-IT"/>
        </w:rPr>
      </w:pPr>
    </w:p>
    <w:p w14:paraId="0E47D3E6" w14:textId="7498D985" w:rsidR="00EC5C3C" w:rsidRDefault="00EC5C3C" w:rsidP="00715D7F">
      <w:pPr>
        <w:autoSpaceDE w:val="0"/>
        <w:jc w:val="center"/>
        <w:rPr>
          <w:rFonts w:cs="Arial"/>
          <w:b/>
          <w:sz w:val="24"/>
          <w:szCs w:val="24"/>
          <w:lang w:val="it-IT"/>
        </w:rPr>
      </w:pPr>
    </w:p>
    <w:p w14:paraId="0106870C" w14:textId="77777777" w:rsidR="005D2660" w:rsidRDefault="005D2660" w:rsidP="005D2660">
      <w:pPr>
        <w:autoSpaceDE w:val="0"/>
        <w:rPr>
          <w:b/>
          <w:bCs/>
          <w:sz w:val="24"/>
          <w:szCs w:val="24"/>
        </w:rPr>
      </w:pPr>
      <w:r>
        <w:rPr>
          <w:b/>
          <w:bCs/>
          <w:sz w:val="24"/>
          <w:szCs w:val="24"/>
        </w:rPr>
        <w:t>Compartiment Autoritate Tutelară și Asistență Socială</w:t>
      </w:r>
    </w:p>
    <w:p w14:paraId="4C5E45DA" w14:textId="727794A6" w:rsidR="005D2660" w:rsidRDefault="005D2660" w:rsidP="005D2660">
      <w:pPr>
        <w:autoSpaceDE w:val="0"/>
        <w:rPr>
          <w:rFonts w:cs="Arial"/>
          <w:b/>
          <w:sz w:val="24"/>
          <w:szCs w:val="24"/>
          <w:lang w:val="it-IT"/>
        </w:rPr>
      </w:pPr>
      <w:r w:rsidRPr="00715D7F">
        <w:rPr>
          <w:rFonts w:cs="Times New Roman"/>
          <w:b/>
          <w:bCs/>
          <w:sz w:val="24"/>
          <w:szCs w:val="24"/>
        </w:rPr>
        <w:t>Neculoiu Vasilica</w:t>
      </w:r>
    </w:p>
    <w:p w14:paraId="44CC5A24" w14:textId="77777777" w:rsidR="005D2660" w:rsidRDefault="005D2660" w:rsidP="00EF7D4A">
      <w:pPr>
        <w:autoSpaceDE w:val="0"/>
        <w:rPr>
          <w:rFonts w:cs="Arial"/>
          <w:b/>
          <w:sz w:val="24"/>
          <w:szCs w:val="24"/>
          <w:lang w:val="it-IT"/>
        </w:rPr>
      </w:pPr>
    </w:p>
    <w:p w14:paraId="307E86CF" w14:textId="77777777" w:rsidR="005D2660" w:rsidRDefault="005D2660" w:rsidP="00EF7D4A">
      <w:pPr>
        <w:autoSpaceDE w:val="0"/>
        <w:rPr>
          <w:rFonts w:cs="Arial"/>
          <w:b/>
          <w:sz w:val="24"/>
          <w:szCs w:val="24"/>
          <w:lang w:val="it-IT"/>
        </w:rPr>
      </w:pPr>
    </w:p>
    <w:p w14:paraId="659E4D0B" w14:textId="77777777" w:rsidR="005D2660" w:rsidRDefault="005D2660" w:rsidP="00EF7D4A">
      <w:pPr>
        <w:autoSpaceDE w:val="0"/>
        <w:rPr>
          <w:rFonts w:cs="Arial"/>
          <w:b/>
          <w:sz w:val="24"/>
          <w:szCs w:val="24"/>
          <w:lang w:val="it-IT"/>
        </w:rPr>
      </w:pPr>
    </w:p>
    <w:p w14:paraId="31B09871" w14:textId="77777777" w:rsidR="005D2660" w:rsidRDefault="005D2660" w:rsidP="00EF7D4A">
      <w:pPr>
        <w:autoSpaceDE w:val="0"/>
        <w:rPr>
          <w:rFonts w:cs="Arial"/>
          <w:b/>
          <w:sz w:val="24"/>
          <w:szCs w:val="24"/>
          <w:lang w:val="it-IT"/>
        </w:rPr>
      </w:pPr>
    </w:p>
    <w:sectPr w:rsidR="005D2660" w:rsidSect="003928B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6321" w14:textId="77777777" w:rsidR="00353E76" w:rsidRDefault="00353E76" w:rsidP="004F527E">
      <w:r>
        <w:separator/>
      </w:r>
    </w:p>
  </w:endnote>
  <w:endnote w:type="continuationSeparator" w:id="0">
    <w:p w14:paraId="733ECC3B" w14:textId="77777777" w:rsidR="00353E76" w:rsidRDefault="00353E76"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E7B5" w14:textId="51536653" w:rsidR="004F527E" w:rsidRDefault="004F527E">
    <w:pPr>
      <w:pStyle w:val="Footer"/>
    </w:pP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97AD" w14:textId="77777777" w:rsidR="00353E76" w:rsidRDefault="00353E76" w:rsidP="004F527E">
      <w:r>
        <w:separator/>
      </w:r>
    </w:p>
  </w:footnote>
  <w:footnote w:type="continuationSeparator" w:id="0">
    <w:p w14:paraId="157123F0" w14:textId="77777777" w:rsidR="00353E76" w:rsidRDefault="00353E76"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ook w:val="01E0" w:firstRow="1" w:lastRow="1" w:firstColumn="1" w:lastColumn="1" w:noHBand="0" w:noVBand="0"/>
    </w:tblPr>
    <w:tblGrid>
      <w:gridCol w:w="1751"/>
      <w:gridCol w:w="7500"/>
      <w:gridCol w:w="1677"/>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3E938D08">
                    <wp:simplePos x="0" y="0"/>
                    <wp:positionH relativeFrom="column">
                      <wp:posOffset>713740</wp:posOffset>
                    </wp:positionH>
                    <wp:positionV relativeFrom="paragraph">
                      <wp:posOffset>5080</wp:posOffset>
                    </wp:positionV>
                    <wp:extent cx="34683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39140"/>
                            </a:xfrm>
                            <a:prstGeom prst="rect">
                              <a:avLst/>
                            </a:prstGeom>
                            <a:solidFill>
                              <a:srgbClr val="FFFFFF"/>
                            </a:solidFill>
                            <a:ln w="9525">
                              <a:solidFill>
                                <a:sysClr val="window" lastClr="FFFFFF"/>
                              </a:solidFill>
                              <a:miter lim="800000"/>
                              <a:headEnd/>
                              <a:tailEnd/>
                            </a:ln>
                          </wps:spPr>
                          <wps:txb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6.2pt;margin-top:.4pt;width:273.1pt;height:5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" strokecolor="window">
                    <v:textbo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3EA6BCC5" w:rsidR="00CA1907" w:rsidRPr="00E85FE6" w:rsidRDefault="00CA1907" w:rsidP="00E55F6A">
          <w:pPr>
            <w:pStyle w:val="NormalWeb"/>
            <w:spacing w:before="0" w:beforeAutospacing="0" w:after="0" w:afterAutospacing="0"/>
            <w:jc w:val="center"/>
            <w:rPr>
              <w:rFonts w:ascii="Arial" w:hAnsi="Arial" w:cs="Arial"/>
              <w:b/>
              <w:i/>
              <w:sz w:val="18"/>
              <w:szCs w:val="18"/>
            </w:rPr>
          </w:pP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45pt;height:7.6pt">
                <v:imagedata r:id="rId2" o:title=""/>
              </v:shape>
              <o:OLEObject Type="Embed" ProgID="CorelDraw.Graphic.17" ShapeID="_x0000_i1025" DrawAspect="Content" ObjectID="_1796475170" r:id="rId3"/>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1D5C08C8"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6EC9B001"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5E750C"/>
    <w:multiLevelType w:val="hybridMultilevel"/>
    <w:tmpl w:val="0ECA9BD6"/>
    <w:lvl w:ilvl="0" w:tplc="5AEEE8B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4"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F4FA2"/>
    <w:multiLevelType w:val="hybridMultilevel"/>
    <w:tmpl w:val="A7760970"/>
    <w:lvl w:ilvl="0" w:tplc="652820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25488"/>
    <w:multiLevelType w:val="hybridMultilevel"/>
    <w:tmpl w:val="B06E0C7A"/>
    <w:lvl w:ilvl="0" w:tplc="C19038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608F4"/>
    <w:multiLevelType w:val="hybridMultilevel"/>
    <w:tmpl w:val="DD9430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04F79D1"/>
    <w:multiLevelType w:val="hybridMultilevel"/>
    <w:tmpl w:val="FB3CBE88"/>
    <w:lvl w:ilvl="0" w:tplc="AEBCF1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12"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64DA3D49"/>
    <w:multiLevelType w:val="hybridMultilevel"/>
    <w:tmpl w:val="3362813E"/>
    <w:lvl w:ilvl="0" w:tplc="D3D4FCA6">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20E35"/>
    <w:multiLevelType w:val="multilevel"/>
    <w:tmpl w:val="942E53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20244447">
    <w:abstractNumId w:val="11"/>
  </w:num>
  <w:num w:numId="2" w16cid:durableId="4920683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673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596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870000">
    <w:abstractNumId w:val="15"/>
  </w:num>
  <w:num w:numId="6" w16cid:durableId="1852063184">
    <w:abstractNumId w:val="12"/>
  </w:num>
  <w:num w:numId="7" w16cid:durableId="1220164467">
    <w:abstractNumId w:val="0"/>
  </w:num>
  <w:num w:numId="8" w16cid:durableId="1713309160">
    <w:abstractNumId w:val="4"/>
  </w:num>
  <w:num w:numId="9" w16cid:durableId="1066883028">
    <w:abstractNumId w:val="6"/>
  </w:num>
  <w:num w:numId="10" w16cid:durableId="2129204930">
    <w:abstractNumId w:val="14"/>
  </w:num>
  <w:num w:numId="11" w16cid:durableId="456417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159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5581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947766">
    <w:abstractNumId w:val="17"/>
  </w:num>
  <w:num w:numId="15" w16cid:durableId="1783529109">
    <w:abstractNumId w:val="16"/>
  </w:num>
  <w:num w:numId="16" w16cid:durableId="1149714311">
    <w:abstractNumId w:val="10"/>
  </w:num>
  <w:num w:numId="17" w16cid:durableId="217136246">
    <w:abstractNumId w:val="7"/>
  </w:num>
  <w:num w:numId="18" w16cid:durableId="1752197112">
    <w:abstractNumId w:val="8"/>
  </w:num>
  <w:num w:numId="19" w16cid:durableId="1393500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3A88"/>
    <w:rsid w:val="000046BF"/>
    <w:rsid w:val="000064E9"/>
    <w:rsid w:val="0001206F"/>
    <w:rsid w:val="000120D2"/>
    <w:rsid w:val="0001272E"/>
    <w:rsid w:val="00014AB3"/>
    <w:rsid w:val="00026B26"/>
    <w:rsid w:val="00027C60"/>
    <w:rsid w:val="00027F9D"/>
    <w:rsid w:val="00032228"/>
    <w:rsid w:val="000334B0"/>
    <w:rsid w:val="00036135"/>
    <w:rsid w:val="000408E1"/>
    <w:rsid w:val="000463B2"/>
    <w:rsid w:val="00053E07"/>
    <w:rsid w:val="00055464"/>
    <w:rsid w:val="00061D05"/>
    <w:rsid w:val="000762C5"/>
    <w:rsid w:val="0007646E"/>
    <w:rsid w:val="00077D45"/>
    <w:rsid w:val="000848E8"/>
    <w:rsid w:val="00092A21"/>
    <w:rsid w:val="0009505B"/>
    <w:rsid w:val="000A6513"/>
    <w:rsid w:val="000B077E"/>
    <w:rsid w:val="000B18D3"/>
    <w:rsid w:val="000B2D5F"/>
    <w:rsid w:val="000B473F"/>
    <w:rsid w:val="000C40CB"/>
    <w:rsid w:val="000D37A3"/>
    <w:rsid w:val="000D6C86"/>
    <w:rsid w:val="000E088C"/>
    <w:rsid w:val="000E4BAB"/>
    <w:rsid w:val="000E5B0C"/>
    <w:rsid w:val="000F4B1A"/>
    <w:rsid w:val="000F5214"/>
    <w:rsid w:val="000F578B"/>
    <w:rsid w:val="00107BC3"/>
    <w:rsid w:val="00111E63"/>
    <w:rsid w:val="001129D9"/>
    <w:rsid w:val="00115865"/>
    <w:rsid w:val="00122B36"/>
    <w:rsid w:val="00124E2D"/>
    <w:rsid w:val="00131359"/>
    <w:rsid w:val="001403CC"/>
    <w:rsid w:val="001423DF"/>
    <w:rsid w:val="00143B84"/>
    <w:rsid w:val="001575A7"/>
    <w:rsid w:val="00162030"/>
    <w:rsid w:val="001669A2"/>
    <w:rsid w:val="0016744A"/>
    <w:rsid w:val="00170463"/>
    <w:rsid w:val="00170A78"/>
    <w:rsid w:val="0017338F"/>
    <w:rsid w:val="0017659D"/>
    <w:rsid w:val="001811D3"/>
    <w:rsid w:val="00182668"/>
    <w:rsid w:val="00182CD6"/>
    <w:rsid w:val="0018401E"/>
    <w:rsid w:val="001848A9"/>
    <w:rsid w:val="001852CF"/>
    <w:rsid w:val="00186AE5"/>
    <w:rsid w:val="00187A43"/>
    <w:rsid w:val="00190365"/>
    <w:rsid w:val="0019060B"/>
    <w:rsid w:val="001942D0"/>
    <w:rsid w:val="001A30B6"/>
    <w:rsid w:val="001A334F"/>
    <w:rsid w:val="001A6874"/>
    <w:rsid w:val="001B2055"/>
    <w:rsid w:val="001B3297"/>
    <w:rsid w:val="001B7C5E"/>
    <w:rsid w:val="001C3044"/>
    <w:rsid w:val="001D08DA"/>
    <w:rsid w:val="001D12DF"/>
    <w:rsid w:val="001D5B7B"/>
    <w:rsid w:val="001E5C6D"/>
    <w:rsid w:val="001F612A"/>
    <w:rsid w:val="001F681A"/>
    <w:rsid w:val="00201854"/>
    <w:rsid w:val="00202898"/>
    <w:rsid w:val="00205348"/>
    <w:rsid w:val="002075A3"/>
    <w:rsid w:val="00210054"/>
    <w:rsid w:val="002114C2"/>
    <w:rsid w:val="00214BA4"/>
    <w:rsid w:val="00217570"/>
    <w:rsid w:val="002222D9"/>
    <w:rsid w:val="002308A7"/>
    <w:rsid w:val="00232103"/>
    <w:rsid w:val="00233419"/>
    <w:rsid w:val="00235ECB"/>
    <w:rsid w:val="0023795F"/>
    <w:rsid w:val="002433BA"/>
    <w:rsid w:val="00251D23"/>
    <w:rsid w:val="00260BBE"/>
    <w:rsid w:val="0026201D"/>
    <w:rsid w:val="00265EAD"/>
    <w:rsid w:val="0026692C"/>
    <w:rsid w:val="00266A59"/>
    <w:rsid w:val="00267933"/>
    <w:rsid w:val="002708B4"/>
    <w:rsid w:val="0029396C"/>
    <w:rsid w:val="00295001"/>
    <w:rsid w:val="0029591D"/>
    <w:rsid w:val="00295BD9"/>
    <w:rsid w:val="002A00CF"/>
    <w:rsid w:val="002B76B3"/>
    <w:rsid w:val="002C0415"/>
    <w:rsid w:val="002C2C7E"/>
    <w:rsid w:val="002C74D3"/>
    <w:rsid w:val="002D39D1"/>
    <w:rsid w:val="002D53D9"/>
    <w:rsid w:val="002D5B78"/>
    <w:rsid w:val="002D659D"/>
    <w:rsid w:val="002E4ED2"/>
    <w:rsid w:val="002E6B95"/>
    <w:rsid w:val="002F43FF"/>
    <w:rsid w:val="002F7FB8"/>
    <w:rsid w:val="0030473F"/>
    <w:rsid w:val="00305B09"/>
    <w:rsid w:val="00315C7C"/>
    <w:rsid w:val="00325BBD"/>
    <w:rsid w:val="00352E62"/>
    <w:rsid w:val="00353E76"/>
    <w:rsid w:val="00355E6B"/>
    <w:rsid w:val="003600DD"/>
    <w:rsid w:val="00363AE3"/>
    <w:rsid w:val="00365008"/>
    <w:rsid w:val="00370B8C"/>
    <w:rsid w:val="00374496"/>
    <w:rsid w:val="00380FFA"/>
    <w:rsid w:val="00385C25"/>
    <w:rsid w:val="003928B0"/>
    <w:rsid w:val="003950E7"/>
    <w:rsid w:val="00397F1B"/>
    <w:rsid w:val="003A2DCB"/>
    <w:rsid w:val="003A5939"/>
    <w:rsid w:val="003B0FA7"/>
    <w:rsid w:val="003B53EF"/>
    <w:rsid w:val="003B5FDE"/>
    <w:rsid w:val="003B7EE2"/>
    <w:rsid w:val="003C49DD"/>
    <w:rsid w:val="003D34AA"/>
    <w:rsid w:val="00425F3D"/>
    <w:rsid w:val="00426499"/>
    <w:rsid w:val="0043224D"/>
    <w:rsid w:val="00434E3D"/>
    <w:rsid w:val="0044267C"/>
    <w:rsid w:val="0044647F"/>
    <w:rsid w:val="00450409"/>
    <w:rsid w:val="00454364"/>
    <w:rsid w:val="00455A0B"/>
    <w:rsid w:val="0046111F"/>
    <w:rsid w:val="004641E9"/>
    <w:rsid w:val="00467341"/>
    <w:rsid w:val="0046749E"/>
    <w:rsid w:val="00472B2D"/>
    <w:rsid w:val="00472E97"/>
    <w:rsid w:val="0048769A"/>
    <w:rsid w:val="004902A1"/>
    <w:rsid w:val="004902AA"/>
    <w:rsid w:val="0049627E"/>
    <w:rsid w:val="00497792"/>
    <w:rsid w:val="004B22EF"/>
    <w:rsid w:val="004B4F9B"/>
    <w:rsid w:val="004C3A18"/>
    <w:rsid w:val="004D03B6"/>
    <w:rsid w:val="004D2165"/>
    <w:rsid w:val="004D487C"/>
    <w:rsid w:val="004D7261"/>
    <w:rsid w:val="004E6CAA"/>
    <w:rsid w:val="004E75FF"/>
    <w:rsid w:val="004F30E4"/>
    <w:rsid w:val="004F527E"/>
    <w:rsid w:val="004F6A60"/>
    <w:rsid w:val="00501011"/>
    <w:rsid w:val="00503B61"/>
    <w:rsid w:val="00503F05"/>
    <w:rsid w:val="005063AD"/>
    <w:rsid w:val="00511538"/>
    <w:rsid w:val="00514BF8"/>
    <w:rsid w:val="00525921"/>
    <w:rsid w:val="0053218F"/>
    <w:rsid w:val="00537862"/>
    <w:rsid w:val="005540F3"/>
    <w:rsid w:val="005555B9"/>
    <w:rsid w:val="0056168A"/>
    <w:rsid w:val="00563C7A"/>
    <w:rsid w:val="00567484"/>
    <w:rsid w:val="00572009"/>
    <w:rsid w:val="00576B9A"/>
    <w:rsid w:val="0058265D"/>
    <w:rsid w:val="00582F16"/>
    <w:rsid w:val="0058757A"/>
    <w:rsid w:val="005A0A91"/>
    <w:rsid w:val="005A1237"/>
    <w:rsid w:val="005A3DEE"/>
    <w:rsid w:val="005B0271"/>
    <w:rsid w:val="005B2EA6"/>
    <w:rsid w:val="005B3950"/>
    <w:rsid w:val="005B4074"/>
    <w:rsid w:val="005C28AA"/>
    <w:rsid w:val="005C3C24"/>
    <w:rsid w:val="005C4DCA"/>
    <w:rsid w:val="005C7084"/>
    <w:rsid w:val="005D0F08"/>
    <w:rsid w:val="005D2660"/>
    <w:rsid w:val="005D3227"/>
    <w:rsid w:val="005D5562"/>
    <w:rsid w:val="005D7D0A"/>
    <w:rsid w:val="005E1189"/>
    <w:rsid w:val="005F1C00"/>
    <w:rsid w:val="0060488D"/>
    <w:rsid w:val="00606007"/>
    <w:rsid w:val="006129F4"/>
    <w:rsid w:val="006135C6"/>
    <w:rsid w:val="00617129"/>
    <w:rsid w:val="006242F1"/>
    <w:rsid w:val="0062782C"/>
    <w:rsid w:val="0063614A"/>
    <w:rsid w:val="00645983"/>
    <w:rsid w:val="006560B5"/>
    <w:rsid w:val="00660998"/>
    <w:rsid w:val="00670793"/>
    <w:rsid w:val="00676B1C"/>
    <w:rsid w:val="0067716F"/>
    <w:rsid w:val="006907D1"/>
    <w:rsid w:val="00693084"/>
    <w:rsid w:val="00694D4C"/>
    <w:rsid w:val="00695FBD"/>
    <w:rsid w:val="006A6E7C"/>
    <w:rsid w:val="006B3352"/>
    <w:rsid w:val="006B52FB"/>
    <w:rsid w:val="006C17F8"/>
    <w:rsid w:val="006C5BD5"/>
    <w:rsid w:val="006C73FB"/>
    <w:rsid w:val="006D429B"/>
    <w:rsid w:val="006D5C90"/>
    <w:rsid w:val="006D7CB9"/>
    <w:rsid w:val="006E7288"/>
    <w:rsid w:val="006F2EF5"/>
    <w:rsid w:val="00700E3F"/>
    <w:rsid w:val="0070523B"/>
    <w:rsid w:val="00712571"/>
    <w:rsid w:val="00715D7F"/>
    <w:rsid w:val="00723413"/>
    <w:rsid w:val="00723470"/>
    <w:rsid w:val="00745F56"/>
    <w:rsid w:val="007468AF"/>
    <w:rsid w:val="007537EE"/>
    <w:rsid w:val="00755551"/>
    <w:rsid w:val="007766CA"/>
    <w:rsid w:val="0078214E"/>
    <w:rsid w:val="0078222E"/>
    <w:rsid w:val="00782766"/>
    <w:rsid w:val="00784CB2"/>
    <w:rsid w:val="007964E9"/>
    <w:rsid w:val="007A0E09"/>
    <w:rsid w:val="007A0E1F"/>
    <w:rsid w:val="007A3411"/>
    <w:rsid w:val="007B3C56"/>
    <w:rsid w:val="007B4CE7"/>
    <w:rsid w:val="007C229A"/>
    <w:rsid w:val="007C28C2"/>
    <w:rsid w:val="007D5051"/>
    <w:rsid w:val="007D6C9A"/>
    <w:rsid w:val="007D7976"/>
    <w:rsid w:val="007E77C0"/>
    <w:rsid w:val="007F34EC"/>
    <w:rsid w:val="007F6225"/>
    <w:rsid w:val="0080198C"/>
    <w:rsid w:val="0080585B"/>
    <w:rsid w:val="00805B32"/>
    <w:rsid w:val="00812D63"/>
    <w:rsid w:val="00813ED9"/>
    <w:rsid w:val="00814B63"/>
    <w:rsid w:val="00816190"/>
    <w:rsid w:val="00817FE8"/>
    <w:rsid w:val="0082765F"/>
    <w:rsid w:val="0083248A"/>
    <w:rsid w:val="008336D1"/>
    <w:rsid w:val="00841282"/>
    <w:rsid w:val="00847A88"/>
    <w:rsid w:val="00852151"/>
    <w:rsid w:val="008565E4"/>
    <w:rsid w:val="00857C93"/>
    <w:rsid w:val="00871D33"/>
    <w:rsid w:val="008842FF"/>
    <w:rsid w:val="0088766B"/>
    <w:rsid w:val="008A13CA"/>
    <w:rsid w:val="008A238F"/>
    <w:rsid w:val="008A25AC"/>
    <w:rsid w:val="008A5E84"/>
    <w:rsid w:val="008B2A64"/>
    <w:rsid w:val="008B3964"/>
    <w:rsid w:val="008B68D3"/>
    <w:rsid w:val="008B6C58"/>
    <w:rsid w:val="008C325C"/>
    <w:rsid w:val="008C4373"/>
    <w:rsid w:val="008D0452"/>
    <w:rsid w:val="008D6B31"/>
    <w:rsid w:val="008E3CDE"/>
    <w:rsid w:val="008F1D55"/>
    <w:rsid w:val="008F66E3"/>
    <w:rsid w:val="008F7852"/>
    <w:rsid w:val="00901814"/>
    <w:rsid w:val="00901B89"/>
    <w:rsid w:val="00902386"/>
    <w:rsid w:val="00903450"/>
    <w:rsid w:val="00911770"/>
    <w:rsid w:val="0091376E"/>
    <w:rsid w:val="00916578"/>
    <w:rsid w:val="00921B30"/>
    <w:rsid w:val="00927353"/>
    <w:rsid w:val="00927594"/>
    <w:rsid w:val="00935482"/>
    <w:rsid w:val="00940D43"/>
    <w:rsid w:val="009412C7"/>
    <w:rsid w:val="009417C6"/>
    <w:rsid w:val="009469E3"/>
    <w:rsid w:val="00947155"/>
    <w:rsid w:val="00950E9E"/>
    <w:rsid w:val="00953A09"/>
    <w:rsid w:val="00955A17"/>
    <w:rsid w:val="0096754C"/>
    <w:rsid w:val="00971E99"/>
    <w:rsid w:val="009728B1"/>
    <w:rsid w:val="00972A37"/>
    <w:rsid w:val="00972BC0"/>
    <w:rsid w:val="0097530D"/>
    <w:rsid w:val="00991DF9"/>
    <w:rsid w:val="009A3D1B"/>
    <w:rsid w:val="009A54D3"/>
    <w:rsid w:val="009B1964"/>
    <w:rsid w:val="009B4590"/>
    <w:rsid w:val="009B5AB0"/>
    <w:rsid w:val="009C2887"/>
    <w:rsid w:val="009D04E2"/>
    <w:rsid w:val="009D0DC8"/>
    <w:rsid w:val="009D612C"/>
    <w:rsid w:val="009E04FF"/>
    <w:rsid w:val="009E37FC"/>
    <w:rsid w:val="009F279C"/>
    <w:rsid w:val="00A05AA9"/>
    <w:rsid w:val="00A05FC6"/>
    <w:rsid w:val="00A07CF6"/>
    <w:rsid w:val="00A11F0C"/>
    <w:rsid w:val="00A1416C"/>
    <w:rsid w:val="00A22E56"/>
    <w:rsid w:val="00A261A2"/>
    <w:rsid w:val="00A27B40"/>
    <w:rsid w:val="00A319F9"/>
    <w:rsid w:val="00A35C62"/>
    <w:rsid w:val="00A409D6"/>
    <w:rsid w:val="00A453D9"/>
    <w:rsid w:val="00A625AF"/>
    <w:rsid w:val="00A6435E"/>
    <w:rsid w:val="00A65122"/>
    <w:rsid w:val="00A65CA1"/>
    <w:rsid w:val="00A7128A"/>
    <w:rsid w:val="00A72C9A"/>
    <w:rsid w:val="00A736E9"/>
    <w:rsid w:val="00A80A28"/>
    <w:rsid w:val="00A82914"/>
    <w:rsid w:val="00A92095"/>
    <w:rsid w:val="00AA1B21"/>
    <w:rsid w:val="00AA1BB0"/>
    <w:rsid w:val="00AA293A"/>
    <w:rsid w:val="00AB0CEA"/>
    <w:rsid w:val="00AB3697"/>
    <w:rsid w:val="00AB3B4C"/>
    <w:rsid w:val="00AD1494"/>
    <w:rsid w:val="00AE0080"/>
    <w:rsid w:val="00AE1ACA"/>
    <w:rsid w:val="00AE31A2"/>
    <w:rsid w:val="00AE454C"/>
    <w:rsid w:val="00AF1386"/>
    <w:rsid w:val="00AF2C14"/>
    <w:rsid w:val="00B075AC"/>
    <w:rsid w:val="00B201C7"/>
    <w:rsid w:val="00B205DE"/>
    <w:rsid w:val="00B2435B"/>
    <w:rsid w:val="00B259B7"/>
    <w:rsid w:val="00B27965"/>
    <w:rsid w:val="00B3162D"/>
    <w:rsid w:val="00B363B0"/>
    <w:rsid w:val="00B4609D"/>
    <w:rsid w:val="00B46723"/>
    <w:rsid w:val="00B46B91"/>
    <w:rsid w:val="00B5490F"/>
    <w:rsid w:val="00B54BAD"/>
    <w:rsid w:val="00B61790"/>
    <w:rsid w:val="00B74AFD"/>
    <w:rsid w:val="00B77A8F"/>
    <w:rsid w:val="00B80D4C"/>
    <w:rsid w:val="00B86493"/>
    <w:rsid w:val="00B87504"/>
    <w:rsid w:val="00B93913"/>
    <w:rsid w:val="00B965DE"/>
    <w:rsid w:val="00BA5339"/>
    <w:rsid w:val="00BA5BB6"/>
    <w:rsid w:val="00BB24DC"/>
    <w:rsid w:val="00BB45A5"/>
    <w:rsid w:val="00BB5D37"/>
    <w:rsid w:val="00BC2204"/>
    <w:rsid w:val="00BC23F3"/>
    <w:rsid w:val="00BC53C7"/>
    <w:rsid w:val="00BC559D"/>
    <w:rsid w:val="00BC6D32"/>
    <w:rsid w:val="00BC71F6"/>
    <w:rsid w:val="00BD6DB4"/>
    <w:rsid w:val="00BD780F"/>
    <w:rsid w:val="00BE10DB"/>
    <w:rsid w:val="00BE6113"/>
    <w:rsid w:val="00BF2FA3"/>
    <w:rsid w:val="00BF391A"/>
    <w:rsid w:val="00BF40FC"/>
    <w:rsid w:val="00C041F5"/>
    <w:rsid w:val="00C102E1"/>
    <w:rsid w:val="00C22466"/>
    <w:rsid w:val="00C25570"/>
    <w:rsid w:val="00C41339"/>
    <w:rsid w:val="00C47A5A"/>
    <w:rsid w:val="00C47EC6"/>
    <w:rsid w:val="00C55AD3"/>
    <w:rsid w:val="00C56DAD"/>
    <w:rsid w:val="00C7352F"/>
    <w:rsid w:val="00C7458A"/>
    <w:rsid w:val="00C805E1"/>
    <w:rsid w:val="00C842B7"/>
    <w:rsid w:val="00C86E3C"/>
    <w:rsid w:val="00CA1907"/>
    <w:rsid w:val="00CA42E2"/>
    <w:rsid w:val="00CB5DB6"/>
    <w:rsid w:val="00CC139F"/>
    <w:rsid w:val="00CC4757"/>
    <w:rsid w:val="00CC49B2"/>
    <w:rsid w:val="00CD7A4C"/>
    <w:rsid w:val="00CF05DE"/>
    <w:rsid w:val="00CF095B"/>
    <w:rsid w:val="00CF630E"/>
    <w:rsid w:val="00D172E0"/>
    <w:rsid w:val="00D272B9"/>
    <w:rsid w:val="00D32A37"/>
    <w:rsid w:val="00D344AA"/>
    <w:rsid w:val="00D36F4F"/>
    <w:rsid w:val="00D40E3D"/>
    <w:rsid w:val="00D433A4"/>
    <w:rsid w:val="00D47589"/>
    <w:rsid w:val="00D64530"/>
    <w:rsid w:val="00D659B7"/>
    <w:rsid w:val="00D70D2B"/>
    <w:rsid w:val="00D76330"/>
    <w:rsid w:val="00D86E45"/>
    <w:rsid w:val="00D90CB0"/>
    <w:rsid w:val="00D95C49"/>
    <w:rsid w:val="00D966F1"/>
    <w:rsid w:val="00D97816"/>
    <w:rsid w:val="00DA261D"/>
    <w:rsid w:val="00DA4F31"/>
    <w:rsid w:val="00DA7CA1"/>
    <w:rsid w:val="00DB12C8"/>
    <w:rsid w:val="00DB774D"/>
    <w:rsid w:val="00DC3B2F"/>
    <w:rsid w:val="00DD1561"/>
    <w:rsid w:val="00DD1986"/>
    <w:rsid w:val="00DE3BCC"/>
    <w:rsid w:val="00DE612C"/>
    <w:rsid w:val="00DF42F0"/>
    <w:rsid w:val="00E04EB0"/>
    <w:rsid w:val="00E24A7C"/>
    <w:rsid w:val="00E313EA"/>
    <w:rsid w:val="00E314ED"/>
    <w:rsid w:val="00E37579"/>
    <w:rsid w:val="00E43A00"/>
    <w:rsid w:val="00E43F10"/>
    <w:rsid w:val="00E44E8E"/>
    <w:rsid w:val="00E518C6"/>
    <w:rsid w:val="00E53C3E"/>
    <w:rsid w:val="00E570EF"/>
    <w:rsid w:val="00E614CB"/>
    <w:rsid w:val="00E66B88"/>
    <w:rsid w:val="00E67905"/>
    <w:rsid w:val="00E67972"/>
    <w:rsid w:val="00E71AC3"/>
    <w:rsid w:val="00E80576"/>
    <w:rsid w:val="00E87A06"/>
    <w:rsid w:val="00E9023E"/>
    <w:rsid w:val="00EA2E87"/>
    <w:rsid w:val="00EA3378"/>
    <w:rsid w:val="00EA51B7"/>
    <w:rsid w:val="00EB1869"/>
    <w:rsid w:val="00EC1F57"/>
    <w:rsid w:val="00EC385B"/>
    <w:rsid w:val="00EC4E50"/>
    <w:rsid w:val="00EC4F9E"/>
    <w:rsid w:val="00EC5316"/>
    <w:rsid w:val="00EC54FF"/>
    <w:rsid w:val="00EC5C3C"/>
    <w:rsid w:val="00ED14B4"/>
    <w:rsid w:val="00ED1EA5"/>
    <w:rsid w:val="00EE2DBB"/>
    <w:rsid w:val="00EE569F"/>
    <w:rsid w:val="00EF7D4A"/>
    <w:rsid w:val="00F00D34"/>
    <w:rsid w:val="00F02862"/>
    <w:rsid w:val="00F03039"/>
    <w:rsid w:val="00F039B8"/>
    <w:rsid w:val="00F04FFD"/>
    <w:rsid w:val="00F10557"/>
    <w:rsid w:val="00F16E7E"/>
    <w:rsid w:val="00F21A47"/>
    <w:rsid w:val="00F24761"/>
    <w:rsid w:val="00F27F47"/>
    <w:rsid w:val="00F30DA8"/>
    <w:rsid w:val="00F31A74"/>
    <w:rsid w:val="00F31FCF"/>
    <w:rsid w:val="00F320EC"/>
    <w:rsid w:val="00F36F33"/>
    <w:rsid w:val="00F5093E"/>
    <w:rsid w:val="00F516DE"/>
    <w:rsid w:val="00F53295"/>
    <w:rsid w:val="00F54927"/>
    <w:rsid w:val="00F71EDC"/>
    <w:rsid w:val="00F8418C"/>
    <w:rsid w:val="00F862EC"/>
    <w:rsid w:val="00F90402"/>
    <w:rsid w:val="00F94C3D"/>
    <w:rsid w:val="00F9644D"/>
    <w:rsid w:val="00F97C54"/>
    <w:rsid w:val="00FA0A90"/>
    <w:rsid w:val="00FA483B"/>
    <w:rsid w:val="00FA5658"/>
    <w:rsid w:val="00FA64E5"/>
    <w:rsid w:val="00FB2313"/>
    <w:rsid w:val="00FB7245"/>
    <w:rsid w:val="00FC1F8B"/>
    <w:rsid w:val="00FC611A"/>
    <w:rsid w:val="00FD13A5"/>
    <w:rsid w:val="00FE13BB"/>
    <w:rsid w:val="00FE6176"/>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link w:val="Heading2Char"/>
    <w:uiPriority w:val="9"/>
    <w:unhideWhenUsed/>
    <w:qFormat/>
    <w:rsid w:val="00CC4757"/>
    <w:pPr>
      <w:spacing w:before="100" w:beforeAutospacing="1" w:after="100" w:afterAutospacing="1"/>
      <w:outlineLvl w:val="1"/>
    </w:pPr>
    <w:rPr>
      <w:rFonts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rsid w:val="004F527E"/>
    <w:pPr>
      <w:tabs>
        <w:tab w:val="center" w:pos="4680"/>
        <w:tab w:val="right" w:pos="9360"/>
      </w:tabs>
    </w:pPr>
  </w:style>
  <w:style w:type="character" w:customStyle="1" w:styleId="FooterChar">
    <w:name w:val="Footer Char"/>
    <w:link w:val="Footer"/>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2Char">
    <w:name w:val="Heading 2 Char"/>
    <w:basedOn w:val="DefaultParagraphFont"/>
    <w:link w:val="Heading2"/>
    <w:uiPriority w:val="9"/>
    <w:rsid w:val="00CC4757"/>
    <w:rPr>
      <w:b/>
      <w:bCs/>
      <w:sz w:val="36"/>
      <w:szCs w:val="36"/>
      <w:lang w:val="en-GB" w:eastAsia="en-GB"/>
    </w:rPr>
  </w:style>
  <w:style w:type="character" w:customStyle="1" w:styleId="panchor">
    <w:name w:val="panchor"/>
    <w:basedOn w:val="DefaultParagraphFont"/>
    <w:rsid w:val="0069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1136681572">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80687240">
      <w:bodyDiv w:val="1"/>
      <w:marLeft w:val="0"/>
      <w:marRight w:val="0"/>
      <w:marTop w:val="0"/>
      <w:marBottom w:val="0"/>
      <w:divBdr>
        <w:top w:val="none" w:sz="0" w:space="0" w:color="auto"/>
        <w:left w:val="none" w:sz="0" w:space="0" w:color="auto"/>
        <w:bottom w:val="none" w:sz="0" w:space="0" w:color="auto"/>
        <w:right w:val="none" w:sz="0" w:space="0" w:color="auto"/>
      </w:divBdr>
    </w:div>
    <w:div w:id="1786728102">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701</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4688</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17</cp:revision>
  <cp:lastPrinted>2023-12-28T11:56:00Z</cp:lastPrinted>
  <dcterms:created xsi:type="dcterms:W3CDTF">2023-01-26T12:17:00Z</dcterms:created>
  <dcterms:modified xsi:type="dcterms:W3CDTF">2024-12-23T14:06:00Z</dcterms:modified>
</cp:coreProperties>
</file>