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841" w:rsidRPr="00CD4864" w:rsidRDefault="007E4AEA">
      <w:pPr>
        <w:spacing w:after="60"/>
        <w:jc w:val="center"/>
        <w:rPr>
          <w:rFonts w:ascii="Times New Roman" w:hAnsi="Times New Roman" w:cs="Times New Roman"/>
          <w:sz w:val="24"/>
          <w:szCs w:val="24"/>
        </w:rPr>
      </w:pPr>
      <w:r w:rsidRPr="00CD4864">
        <w:rPr>
          <w:rFonts w:ascii="Times New Roman" w:hAnsi="Times New Roman" w:cs="Times New Roman"/>
          <w:b/>
          <w:bCs/>
          <w:sz w:val="24"/>
          <w:szCs w:val="24"/>
        </w:rPr>
        <w:t>TEMĂ DE PROIECTARE</w:t>
      </w:r>
    </w:p>
    <w:p w:rsidR="00965841" w:rsidRPr="00CD4864" w:rsidRDefault="007E4AEA">
      <w:pPr>
        <w:spacing w:after="40"/>
        <w:jc w:val="center"/>
        <w:rPr>
          <w:rFonts w:ascii="Times New Roman" w:hAnsi="Times New Roman" w:cs="Times New Roman"/>
          <w:sz w:val="24"/>
          <w:szCs w:val="24"/>
        </w:rPr>
      </w:pPr>
      <w:r w:rsidRPr="00CD4864">
        <w:rPr>
          <w:rFonts w:ascii="Times New Roman" w:hAnsi="Times New Roman" w:cs="Times New Roman"/>
          <w:sz w:val="24"/>
          <w:szCs w:val="24"/>
        </w:rPr>
        <w:t>pentru obiectivul de investiții</w:t>
      </w:r>
    </w:p>
    <w:p w:rsidR="00965841" w:rsidRPr="00CD4864" w:rsidRDefault="007E4AEA">
      <w:pPr>
        <w:spacing w:after="40"/>
        <w:jc w:val="center"/>
        <w:rPr>
          <w:rFonts w:ascii="Times New Roman" w:hAnsi="Times New Roman" w:cs="Times New Roman"/>
          <w:sz w:val="24"/>
          <w:szCs w:val="24"/>
        </w:rPr>
      </w:pPr>
      <w:r w:rsidRPr="00CD4864">
        <w:rPr>
          <w:rFonts w:ascii="Times New Roman" w:hAnsi="Times New Roman" w:cs="Times New Roman"/>
          <w:b/>
          <w:bCs/>
          <w:sz w:val="24"/>
          <w:szCs w:val="24"/>
        </w:rPr>
        <w:t>„Înființare drum public de acces în zona Chiscului, sat Nicolae Bălcescu, comuna Nicolae Bălcescu, județul Bacău”</w:t>
      </w:r>
    </w:p>
    <w:p w:rsidR="00965841" w:rsidRPr="00CD4864" w:rsidRDefault="007E4AEA">
      <w:pPr>
        <w:spacing w:after="240"/>
        <w:jc w:val="center"/>
        <w:rPr>
          <w:rFonts w:ascii="Times New Roman" w:hAnsi="Times New Roman" w:cs="Times New Roman"/>
          <w:sz w:val="24"/>
          <w:szCs w:val="24"/>
        </w:rPr>
      </w:pPr>
      <w:r w:rsidRPr="00CD4864">
        <w:rPr>
          <w:rFonts w:ascii="Times New Roman" w:hAnsi="Times New Roman" w:cs="Times New Roman"/>
          <w:i/>
          <w:iCs/>
          <w:sz w:val="24"/>
          <w:szCs w:val="24"/>
        </w:rPr>
        <w:t>întocmită în conformitate cu Anexa nr. 2 la H.G. nr. 907/2016 privind etapele de elaborare și conținutul-cadru al documentațiilor tehnico-economice aferente obiectivelor/proiectelor de investiții finanțate din fonduri publice, cu modificările și completările ulterioare</w:t>
      </w:r>
      <w:r w:rsidR="002161B6" w:rsidRPr="00CD4864">
        <w:rPr>
          <w:rFonts w:ascii="Times New Roman" w:hAnsi="Times New Roman" w:cs="Times New Roman"/>
          <w:i/>
          <w:iCs/>
          <w:sz w:val="24"/>
          <w:szCs w:val="24"/>
        </w:rPr>
        <w:t xml:space="preserve"> </w:t>
      </w:r>
    </w:p>
    <w:p w:rsidR="00965841" w:rsidRPr="00CD4864" w:rsidRDefault="007E4AEA">
      <w:pPr>
        <w:pStyle w:val="Heading1"/>
        <w:rPr>
          <w:rFonts w:ascii="Times New Roman" w:hAnsi="Times New Roman" w:cs="Times New Roman"/>
          <w:color w:val="auto"/>
          <w:sz w:val="24"/>
          <w:szCs w:val="24"/>
        </w:rPr>
      </w:pPr>
      <w:r w:rsidRPr="00CD4864">
        <w:rPr>
          <w:rFonts w:ascii="Times New Roman" w:hAnsi="Times New Roman" w:cs="Times New Roman"/>
          <w:color w:val="auto"/>
          <w:sz w:val="24"/>
          <w:szCs w:val="24"/>
        </w:rPr>
        <w:t>1. Informații generale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500"/>
        <w:gridCol w:w="5526"/>
      </w:tblGrid>
      <w:tr w:rsidR="00965841" w:rsidRPr="00CD4864">
        <w:tc>
          <w:tcPr>
            <w:tcW w:w="3500" w:type="dxa"/>
            <w:tcBorders>
              <w:top w:val="single" w:sz="1" w:space="0" w:color="AAAAAA"/>
              <w:left w:val="single" w:sz="1" w:space="0" w:color="AAAAAA"/>
              <w:bottom w:val="single" w:sz="1" w:space="0" w:color="AAAAAA"/>
              <w:right w:val="single" w:sz="1" w:space="0" w:color="AAAAAA"/>
            </w:tcBorders>
            <w:shd w:val="clear" w:color="auto" w:fill="EAF1F8"/>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b/>
                <w:bCs/>
                <w:sz w:val="24"/>
                <w:szCs w:val="24"/>
              </w:rPr>
              <w:t>1.1. Denumirea obiectivului de investiții</w:t>
            </w:r>
          </w:p>
        </w:tc>
        <w:tc>
          <w:tcPr>
            <w:tcW w:w="55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sz w:val="24"/>
                <w:szCs w:val="24"/>
              </w:rPr>
              <w:t>Înființare drum public de acces în zona Chiscului, sat Nicolae Bălcescu, comuna Nicolae Bălcescu, județul Bacău</w:t>
            </w:r>
          </w:p>
        </w:tc>
      </w:tr>
      <w:tr w:rsidR="00965841" w:rsidRPr="00CD4864">
        <w:tc>
          <w:tcPr>
            <w:tcW w:w="3500" w:type="dxa"/>
            <w:tcBorders>
              <w:top w:val="single" w:sz="1" w:space="0" w:color="AAAAAA"/>
              <w:left w:val="single" w:sz="1" w:space="0" w:color="AAAAAA"/>
              <w:bottom w:val="single" w:sz="1" w:space="0" w:color="AAAAAA"/>
              <w:right w:val="single" w:sz="1" w:space="0" w:color="AAAAAA"/>
            </w:tcBorders>
            <w:shd w:val="clear" w:color="auto" w:fill="EAF1F8"/>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b/>
                <w:bCs/>
                <w:sz w:val="24"/>
                <w:szCs w:val="24"/>
              </w:rPr>
              <w:t>1.2. Ordonatorul principal de credite / investitorul</w:t>
            </w:r>
          </w:p>
        </w:tc>
        <w:tc>
          <w:tcPr>
            <w:tcW w:w="55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sz w:val="24"/>
                <w:szCs w:val="24"/>
              </w:rPr>
              <w:t>Comuna Nicolae Bălcescu, prin Primar – Marcelin-Iosif Trifescu</w:t>
            </w:r>
          </w:p>
        </w:tc>
      </w:tr>
      <w:tr w:rsidR="00965841" w:rsidRPr="00CD4864">
        <w:tc>
          <w:tcPr>
            <w:tcW w:w="3500" w:type="dxa"/>
            <w:tcBorders>
              <w:top w:val="single" w:sz="1" w:space="0" w:color="AAAAAA"/>
              <w:left w:val="single" w:sz="1" w:space="0" w:color="AAAAAA"/>
              <w:bottom w:val="single" w:sz="1" w:space="0" w:color="AAAAAA"/>
              <w:right w:val="single" w:sz="1" w:space="0" w:color="AAAAAA"/>
            </w:tcBorders>
            <w:shd w:val="clear" w:color="auto" w:fill="EAF1F8"/>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b/>
                <w:bCs/>
                <w:sz w:val="24"/>
                <w:szCs w:val="24"/>
              </w:rPr>
              <w:t>1.3. Ordonatorul de credite (secundar/terțiar)</w:t>
            </w:r>
          </w:p>
        </w:tc>
        <w:tc>
          <w:tcPr>
            <w:tcW w:w="55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sz w:val="24"/>
                <w:szCs w:val="24"/>
              </w:rPr>
              <w:t>Nu este cazul</w:t>
            </w:r>
          </w:p>
        </w:tc>
      </w:tr>
      <w:tr w:rsidR="00965841" w:rsidRPr="00CD4864">
        <w:tc>
          <w:tcPr>
            <w:tcW w:w="3500" w:type="dxa"/>
            <w:tcBorders>
              <w:top w:val="single" w:sz="1" w:space="0" w:color="AAAAAA"/>
              <w:left w:val="single" w:sz="1" w:space="0" w:color="AAAAAA"/>
              <w:bottom w:val="single" w:sz="1" w:space="0" w:color="AAAAAA"/>
              <w:right w:val="single" w:sz="1" w:space="0" w:color="AAAAAA"/>
            </w:tcBorders>
            <w:shd w:val="clear" w:color="auto" w:fill="EAF1F8"/>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b/>
                <w:bCs/>
                <w:sz w:val="24"/>
                <w:szCs w:val="24"/>
              </w:rPr>
              <w:t>1.4. Beneficiarul investiției</w:t>
            </w:r>
          </w:p>
        </w:tc>
        <w:tc>
          <w:tcPr>
            <w:tcW w:w="55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rsidR="00965841" w:rsidRPr="00CD4864" w:rsidRDefault="007E4AEA">
            <w:pPr>
              <w:spacing w:line="264" w:lineRule="auto"/>
              <w:rPr>
                <w:rFonts w:ascii="Times New Roman" w:hAnsi="Times New Roman" w:cs="Times New Roman"/>
                <w:sz w:val="24"/>
                <w:szCs w:val="24"/>
              </w:rPr>
            </w:pPr>
            <w:r w:rsidRPr="00CD4864">
              <w:rPr>
                <w:rFonts w:ascii="Times New Roman" w:hAnsi="Times New Roman" w:cs="Times New Roman"/>
                <w:sz w:val="24"/>
                <w:szCs w:val="24"/>
              </w:rPr>
              <w:t>Comuna Nicolae Bălcescu și locuitorii din zona străzii Chiscului</w:t>
            </w:r>
          </w:p>
        </w:tc>
      </w:tr>
    </w:tbl>
    <w:p w:rsidR="00965841" w:rsidRPr="00CD4864" w:rsidRDefault="00965841">
      <w:pPr>
        <w:spacing w:after="120" w:line="276" w:lineRule="auto"/>
        <w:jc w:val="both"/>
        <w:rPr>
          <w:rFonts w:ascii="Times New Roman" w:hAnsi="Times New Roman" w:cs="Times New Roman"/>
          <w:sz w:val="24"/>
          <w:szCs w:val="24"/>
        </w:rPr>
      </w:pPr>
    </w:p>
    <w:p w:rsidR="00965841" w:rsidRPr="00CD4864" w:rsidRDefault="007E4AEA">
      <w:pPr>
        <w:pStyle w:val="Heading1"/>
        <w:rPr>
          <w:rFonts w:ascii="Times New Roman" w:hAnsi="Times New Roman" w:cs="Times New Roman"/>
          <w:color w:val="auto"/>
          <w:sz w:val="24"/>
          <w:szCs w:val="24"/>
        </w:rPr>
      </w:pPr>
      <w:r w:rsidRPr="00CD4864">
        <w:rPr>
          <w:rFonts w:ascii="Times New Roman" w:hAnsi="Times New Roman" w:cs="Times New Roman"/>
          <w:color w:val="auto"/>
          <w:sz w:val="24"/>
          <w:szCs w:val="24"/>
        </w:rPr>
        <w:t>2. Date de identificare a obiectivului de investiții</w:t>
      </w:r>
    </w:p>
    <w:p w:rsidR="00965841" w:rsidRPr="00CD4864" w:rsidRDefault="007E4AEA">
      <w:pPr>
        <w:pStyle w:val="Heading2"/>
        <w:rPr>
          <w:rFonts w:ascii="Times New Roman" w:hAnsi="Times New Roman" w:cs="Times New Roman"/>
          <w:color w:val="auto"/>
          <w:sz w:val="24"/>
          <w:szCs w:val="24"/>
        </w:rPr>
      </w:pPr>
      <w:r w:rsidRPr="00CD4864">
        <w:rPr>
          <w:rFonts w:ascii="Times New Roman" w:hAnsi="Times New Roman" w:cs="Times New Roman"/>
          <w:color w:val="auto"/>
          <w:sz w:val="24"/>
          <w:szCs w:val="24"/>
        </w:rPr>
        <w:t>2.1. Regimul juridic, economic și tehnic al terenului</w:t>
      </w:r>
    </w:p>
    <w:p w:rsidR="00965841" w:rsidRPr="00CD4864" w:rsidRDefault="007E4AEA">
      <w:pPr>
        <w:spacing w:after="120" w:line="276" w:lineRule="auto"/>
        <w:jc w:val="both"/>
        <w:rPr>
          <w:rFonts w:ascii="Times New Roman" w:hAnsi="Times New Roman" w:cs="Times New Roman"/>
          <w:sz w:val="24"/>
          <w:szCs w:val="24"/>
        </w:rPr>
      </w:pPr>
      <w:r w:rsidRPr="00CD4864">
        <w:rPr>
          <w:rFonts w:ascii="Times New Roman" w:hAnsi="Times New Roman" w:cs="Times New Roman"/>
          <w:sz w:val="24"/>
          <w:szCs w:val="24"/>
        </w:rPr>
        <w:t xml:space="preserve">Terenul pe care urmează a se realiza drumul se află, la data prezentei, în </w:t>
      </w:r>
      <w:r w:rsidRPr="00CD4864">
        <w:rPr>
          <w:rFonts w:ascii="Times New Roman" w:hAnsi="Times New Roman" w:cs="Times New Roman"/>
          <w:b/>
          <w:bCs/>
          <w:sz w:val="24"/>
          <w:szCs w:val="24"/>
        </w:rPr>
        <w:t xml:space="preserve">proprietate privată. </w:t>
      </w:r>
      <w:r w:rsidRPr="00CD4864">
        <w:rPr>
          <w:rFonts w:ascii="Times New Roman" w:hAnsi="Times New Roman" w:cs="Times New Roman"/>
          <w:sz w:val="24"/>
          <w:szCs w:val="24"/>
        </w:rPr>
        <w:t>Coridorul drumului este compus din imobile situate în zona străzii Chiscului, urmând a fi identificate cadastral (numere cadastrale și suprafețe) prin documentația de măsurători. Intrarea terenului în patrimoniul comunei se realizează, în paralel cu proiectarea, prin donație din partea proprietarilor (11 solicitanți care și-au exprimat consimțământul în scris), urmată de trecerea în domeniul public al comunei. Din punct de vedere economic, terenul nu generează venituri; din punct de vedere tehnic, amplasamentul nu este echipat ca drum public.</w:t>
      </w:r>
    </w:p>
    <w:p w:rsidR="00965841" w:rsidRPr="00CD4864" w:rsidRDefault="007E4AEA">
      <w:pPr>
        <w:spacing w:after="120" w:line="276" w:lineRule="auto"/>
        <w:jc w:val="both"/>
        <w:rPr>
          <w:rFonts w:ascii="Times New Roman" w:hAnsi="Times New Roman" w:cs="Times New Roman"/>
          <w:sz w:val="24"/>
          <w:szCs w:val="24"/>
        </w:rPr>
      </w:pPr>
      <w:r w:rsidRPr="00CD4864">
        <w:rPr>
          <w:rFonts w:ascii="Times New Roman" w:hAnsi="Times New Roman" w:cs="Times New Roman"/>
          <w:i/>
          <w:iCs/>
          <w:sz w:val="24"/>
          <w:szCs w:val="24"/>
        </w:rPr>
        <w:t xml:space="preserve">Proiectantul va lucra pe coridorul identificat cadastral pus la dispoziție de beneficiar; autorizarea și execuția lucrărilor sunt condiționate de dobândirea în prealabil a terenului de către </w:t>
      </w:r>
      <w:r w:rsidR="00CD4864">
        <w:rPr>
          <w:rFonts w:ascii="Times New Roman" w:hAnsi="Times New Roman" w:cs="Times New Roman"/>
          <w:i/>
          <w:iCs/>
          <w:sz w:val="24"/>
          <w:szCs w:val="24"/>
        </w:rPr>
        <w:t>Comuna Nicolae Bălcescu</w:t>
      </w:r>
      <w:r w:rsidRPr="00CD4864">
        <w:rPr>
          <w:rFonts w:ascii="Times New Roman" w:hAnsi="Times New Roman" w:cs="Times New Roman"/>
          <w:i/>
          <w:iCs/>
          <w:sz w:val="24"/>
          <w:szCs w:val="24"/>
        </w:rPr>
        <w:t>.</w:t>
      </w:r>
    </w:p>
    <w:p w:rsidR="00965841" w:rsidRPr="00CD4864" w:rsidRDefault="007E4AEA">
      <w:pPr>
        <w:pStyle w:val="Heading2"/>
        <w:rPr>
          <w:rFonts w:ascii="Times New Roman" w:hAnsi="Times New Roman" w:cs="Times New Roman"/>
          <w:color w:val="auto"/>
          <w:sz w:val="24"/>
          <w:szCs w:val="24"/>
        </w:rPr>
      </w:pPr>
      <w:r w:rsidRPr="00CD4864">
        <w:rPr>
          <w:rFonts w:ascii="Times New Roman" w:hAnsi="Times New Roman" w:cs="Times New Roman"/>
          <w:color w:val="auto"/>
          <w:sz w:val="24"/>
          <w:szCs w:val="24"/>
        </w:rPr>
        <w:t>2.2. Particularități ale amplasamentului</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Descriere. </w:t>
      </w:r>
      <w:r w:rsidRPr="00CD4864">
        <w:rPr>
          <w:rFonts w:ascii="Times New Roman" w:hAnsi="Times New Roman" w:cs="Times New Roman"/>
          <w:sz w:val="24"/>
          <w:szCs w:val="24"/>
        </w:rPr>
        <w:t xml:space="preserve">Intravilanul satului Nicolae Bălcescu, zona străzii Chiscului, traseu paralel cu aceasta, formă alungită; lungime aproximativă cca 200–250 m (valoare estimativă, </w:t>
      </w:r>
      <w:r w:rsidRPr="00CD4864">
        <w:rPr>
          <w:rFonts w:ascii="Times New Roman" w:hAnsi="Times New Roman" w:cs="Times New Roman"/>
          <w:sz w:val="24"/>
          <w:szCs w:val="24"/>
        </w:rPr>
        <w:lastRenderedPageBreak/>
        <w:t>de confirmat prin măsurătoare); lățime coridor minim 7,00 m (prag conform anexei nr. 4 la H.G. nr. 525/1996); suprafață estimată cca 1.400–1.750 mp.</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Relații cu vecinătățile și accesul. </w:t>
      </w:r>
      <w:r w:rsidRPr="00CD4864">
        <w:rPr>
          <w:rFonts w:ascii="Times New Roman" w:hAnsi="Times New Roman" w:cs="Times New Roman"/>
          <w:sz w:val="24"/>
          <w:szCs w:val="24"/>
        </w:rPr>
        <w:t>Drumul se conectează la rețeaua stradală existentă la ambele capete (două racorduri), asigurând continuitatea circulației; racordurile se realizează cu avizul administratorului drumului.</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Surse de poluare. </w:t>
      </w:r>
      <w:r w:rsidRPr="00CD4864">
        <w:rPr>
          <w:rFonts w:ascii="Times New Roman" w:hAnsi="Times New Roman" w:cs="Times New Roman"/>
          <w:sz w:val="24"/>
          <w:szCs w:val="24"/>
        </w:rPr>
        <w:t>Nu au fost identificate surse de poluare relevante în zonă.</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Relief. </w:t>
      </w:r>
      <w:r w:rsidRPr="00CD4864">
        <w:rPr>
          <w:rFonts w:ascii="Times New Roman" w:hAnsi="Times New Roman" w:cs="Times New Roman"/>
          <w:sz w:val="24"/>
          <w:szCs w:val="24"/>
        </w:rPr>
        <w:t>Se stabilește prin studiul topografic.</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Echipare tehnico-edilitară. </w:t>
      </w:r>
      <w:r w:rsidRPr="00CD4864">
        <w:rPr>
          <w:rFonts w:ascii="Times New Roman" w:hAnsi="Times New Roman" w:cs="Times New Roman"/>
          <w:sz w:val="24"/>
          <w:szCs w:val="24"/>
        </w:rPr>
        <w:t>Se analizează corelarea cu rețelele existente (apă, canalizare, energie electrică).</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Rețele edilitare în amplasament. </w:t>
      </w:r>
      <w:r w:rsidRPr="00CD4864">
        <w:rPr>
          <w:rFonts w:ascii="Times New Roman" w:hAnsi="Times New Roman" w:cs="Times New Roman"/>
          <w:sz w:val="24"/>
          <w:szCs w:val="24"/>
        </w:rPr>
        <w:t>Se identifică prin solicitarea avizelor deținătorilor de utilități; cele care necesită protejare/relocare se vor trata în proiect.</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Obligații de servitute. </w:t>
      </w:r>
      <w:r w:rsidRPr="00CD4864">
        <w:rPr>
          <w:rFonts w:ascii="Times New Roman" w:hAnsi="Times New Roman" w:cs="Times New Roman"/>
          <w:sz w:val="24"/>
          <w:szCs w:val="24"/>
        </w:rPr>
        <w:t>Se verifică din extrasele de carte funciară ale imobilelor din coridor.</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Condiționări din construcții existente. </w:t>
      </w:r>
      <w:r w:rsidRPr="00CD4864">
        <w:rPr>
          <w:rFonts w:ascii="Times New Roman" w:hAnsi="Times New Roman" w:cs="Times New Roman"/>
          <w:sz w:val="24"/>
          <w:szCs w:val="24"/>
        </w:rPr>
        <w:t>Nu este cazul.</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Reglementări urbanistice. </w:t>
      </w:r>
      <w:r w:rsidRPr="00CD4864">
        <w:rPr>
          <w:rFonts w:ascii="Times New Roman" w:hAnsi="Times New Roman" w:cs="Times New Roman"/>
          <w:sz w:val="24"/>
          <w:szCs w:val="24"/>
        </w:rPr>
        <w:t>Conform P.U.G. și Regulamentului local de urbanism, cu respectarea Regulamentului general de urbanism (H.G. nr. 525/1996). Drumul se încadrează în categoria funcțională stradă, conform art. 8 alin. (1) din O.G. nr. 43/1997.</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Monumente istorice / situri arheologice. </w:t>
      </w:r>
      <w:r w:rsidRPr="00CD4864">
        <w:rPr>
          <w:rFonts w:ascii="Times New Roman" w:hAnsi="Times New Roman" w:cs="Times New Roman"/>
          <w:sz w:val="24"/>
          <w:szCs w:val="24"/>
        </w:rPr>
        <w:t xml:space="preserve">Nu au fost identificate; </w:t>
      </w:r>
    </w:p>
    <w:p w:rsidR="00965841" w:rsidRPr="00CD4864" w:rsidRDefault="007E4AEA">
      <w:pPr>
        <w:pStyle w:val="Heading1"/>
        <w:rPr>
          <w:rFonts w:ascii="Times New Roman" w:hAnsi="Times New Roman" w:cs="Times New Roman"/>
          <w:color w:val="auto"/>
          <w:sz w:val="24"/>
          <w:szCs w:val="24"/>
        </w:rPr>
      </w:pPr>
      <w:r w:rsidRPr="00CD4864">
        <w:rPr>
          <w:rFonts w:ascii="Times New Roman" w:hAnsi="Times New Roman" w:cs="Times New Roman"/>
          <w:color w:val="auto"/>
          <w:sz w:val="24"/>
          <w:szCs w:val="24"/>
        </w:rPr>
        <w:t>3. Descrierea obiectivului de investiții din punct de vedere tehnic și funcțional</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Destinație și funcțiuni. </w:t>
      </w:r>
      <w:r w:rsidRPr="00CD4864">
        <w:rPr>
          <w:rFonts w:ascii="Times New Roman" w:hAnsi="Times New Roman" w:cs="Times New Roman"/>
          <w:sz w:val="24"/>
          <w:szCs w:val="24"/>
        </w:rPr>
        <w:t>Drum public de interes local (stradă), destinat circulației rutiere și pietonale, cu acces la gospodăriile și terenurile deservite.</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Caracteristici și parametri tehnici (cerințe-cadru). </w:t>
      </w:r>
      <w:r w:rsidRPr="00CD4864">
        <w:rPr>
          <w:rFonts w:ascii="Times New Roman" w:hAnsi="Times New Roman" w:cs="Times New Roman"/>
          <w:sz w:val="24"/>
          <w:szCs w:val="24"/>
        </w:rPr>
        <w:t>Conform art. 14–16 din O.G. nr. 43/1997, zona drumului cuprinde ampriza și zonele de siguranță, iar ampriza include partea carosabilă, acostamentele, șanțurile și rigolele. Beneficiarul impune, ca cerințe-cadru minime: lățime coridor minim 7,00 m; parte carosabilă cu minimum 2 benzi (cca 5,50 m); acostamente; sistem de scurgere a apelor pluviale (șanțuri/rigole); trotuar pe cel puțin o latură; racorduri la rețeaua stradală la ambele capete; accese dimensionate pentru intervenția mijloacelor de stingere a incendiilor (trafic greu). Tipul structurii rutiere, dimensiunile definitive ale elementelor amprizei, lungimea reală și eventualele podețe se stabilesc de proiectant prin studiul de fezabilitate, cu respectarea normativelor tehnice rutiere în vigoare.</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Nivel de echipare și exigențe tehnice. </w:t>
      </w:r>
      <w:r w:rsidRPr="00CD4864">
        <w:rPr>
          <w:rFonts w:ascii="Times New Roman" w:hAnsi="Times New Roman" w:cs="Times New Roman"/>
          <w:sz w:val="24"/>
          <w:szCs w:val="24"/>
        </w:rPr>
        <w:t>Se vor respecta cerințele fundamentale de calitate prevăzute de Legea nr. 10/1995 și normativele tehnice aplicabile drumurilor; se va asigura accesibilitatea persoanelor cu dizabilități, conform reglementărilor în vigoare (art. 26 alin. (3) din H.G. nr. 525/1996).</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lastRenderedPageBreak/>
        <w:t xml:space="preserve">Număr estimat de utilizatori. </w:t>
      </w:r>
      <w:r w:rsidRPr="00CD4864">
        <w:rPr>
          <w:rFonts w:ascii="Times New Roman" w:hAnsi="Times New Roman" w:cs="Times New Roman"/>
          <w:sz w:val="24"/>
          <w:szCs w:val="24"/>
        </w:rPr>
        <w:t>Gospodăriile deservite din zona străzii Chiscului (cel puțin cei 1</w:t>
      </w:r>
      <w:r w:rsidR="00792D6E" w:rsidRPr="00CD4864">
        <w:rPr>
          <w:rFonts w:ascii="Times New Roman" w:hAnsi="Times New Roman" w:cs="Times New Roman"/>
          <w:sz w:val="24"/>
          <w:szCs w:val="24"/>
        </w:rPr>
        <w:t>2</w:t>
      </w:r>
      <w:r w:rsidRPr="00CD4864">
        <w:rPr>
          <w:rFonts w:ascii="Times New Roman" w:hAnsi="Times New Roman" w:cs="Times New Roman"/>
          <w:sz w:val="24"/>
          <w:szCs w:val="24"/>
        </w:rPr>
        <w:t xml:space="preserve"> solicitanți și membrii acestora), precum și utilizatorii de tranzit ai drumului.</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Durata minimă de funcționare. </w:t>
      </w:r>
      <w:r w:rsidR="00B0700F" w:rsidRPr="00CD4864">
        <w:rPr>
          <w:rFonts w:ascii="Times New Roman" w:hAnsi="Times New Roman" w:cs="Times New Roman"/>
          <w:sz w:val="24"/>
          <w:szCs w:val="24"/>
        </w:rPr>
        <w:t>V</w:t>
      </w:r>
      <w:r w:rsidRPr="00CD4864">
        <w:rPr>
          <w:rFonts w:ascii="Times New Roman" w:hAnsi="Times New Roman" w:cs="Times New Roman"/>
          <w:sz w:val="24"/>
          <w:szCs w:val="24"/>
        </w:rPr>
        <w:t>aloare estimativă; se stabilește prin studiul de fezabilitate, corespunzător structurii rutiere alese</w:t>
      </w:r>
      <w:r w:rsidR="00ED7714" w:rsidRPr="00CD4864">
        <w:rPr>
          <w:rFonts w:ascii="Times New Roman" w:hAnsi="Times New Roman" w:cs="Times New Roman"/>
          <w:sz w:val="24"/>
          <w:szCs w:val="24"/>
        </w:rPr>
        <w:t>.</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Nevoi funcționale specifice. </w:t>
      </w:r>
      <w:r w:rsidRPr="00CD4864">
        <w:rPr>
          <w:rFonts w:ascii="Times New Roman" w:hAnsi="Times New Roman" w:cs="Times New Roman"/>
          <w:sz w:val="24"/>
          <w:szCs w:val="24"/>
        </w:rPr>
        <w:t>Acces permanent, în siguranță, inclusiv pentru autospeciale de intervenție și utilaje agricole.</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Corelarea soluțiilor tehnice. </w:t>
      </w:r>
      <w:r w:rsidRPr="00CD4864">
        <w:rPr>
          <w:rFonts w:ascii="Times New Roman" w:hAnsi="Times New Roman" w:cs="Times New Roman"/>
          <w:sz w:val="24"/>
          <w:szCs w:val="24"/>
        </w:rPr>
        <w:t>Cu reglementările urbanistice, de protecție a mediului și de siguranță a circulației.</w:t>
      </w:r>
    </w:p>
    <w:p w:rsidR="00965841" w:rsidRPr="00CD4864" w:rsidRDefault="007E4AEA">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Limite privind costurile investiției. </w:t>
      </w:r>
      <w:r w:rsidRPr="00CD4864">
        <w:rPr>
          <w:rFonts w:ascii="Times New Roman" w:hAnsi="Times New Roman" w:cs="Times New Roman"/>
          <w:sz w:val="24"/>
          <w:szCs w:val="24"/>
        </w:rPr>
        <w:t xml:space="preserve">Valorile sunt estimative și se fundamentează prin studiul de fezabilitate, pe baza standardelor de cost aplicabile drumurilor; investiția se va încadra în creditele bugetare aprobate și/sau în plafoanele programului de finanțare aplicabil. </w:t>
      </w:r>
    </w:p>
    <w:p w:rsidR="00965841" w:rsidRPr="00CD4864" w:rsidRDefault="007E4AEA" w:rsidP="005A6AB5">
      <w:pPr>
        <w:pStyle w:val="ListParagraph"/>
        <w:numPr>
          <w:ilvl w:val="0"/>
          <w:numId w:val="2"/>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Limite privind termenele de execuție. </w:t>
      </w:r>
      <w:r w:rsidRPr="00CD4864">
        <w:rPr>
          <w:rFonts w:ascii="Times New Roman" w:hAnsi="Times New Roman" w:cs="Times New Roman"/>
          <w:sz w:val="24"/>
          <w:szCs w:val="24"/>
        </w:rPr>
        <w:t>Termenele de proiectare și de execuție se stabilesc prin studiul de fezabilitate și prin documentațiile de achiziție; se va urmări încadrarea duratei de execuție în limitele stabilite de beneficiar prin caietul de sarcini.  Cadrul legislativ aplicabil și cerințele impuse de beneficiar</w:t>
      </w:r>
    </w:p>
    <w:p w:rsidR="00965841" w:rsidRPr="00CD4864" w:rsidRDefault="007E4AEA">
      <w:pPr>
        <w:pStyle w:val="Heading2"/>
        <w:rPr>
          <w:rFonts w:ascii="Times New Roman" w:hAnsi="Times New Roman" w:cs="Times New Roman"/>
          <w:color w:val="auto"/>
          <w:sz w:val="24"/>
          <w:szCs w:val="24"/>
        </w:rPr>
      </w:pPr>
      <w:r w:rsidRPr="00CD4864">
        <w:rPr>
          <w:rFonts w:ascii="Times New Roman" w:hAnsi="Times New Roman" w:cs="Times New Roman"/>
          <w:color w:val="auto"/>
          <w:sz w:val="24"/>
          <w:szCs w:val="24"/>
        </w:rPr>
        <w:t>4.1. Cadrul legislativ aplicabil</w:t>
      </w:r>
    </w:p>
    <w:p w:rsidR="00965841" w:rsidRPr="00CD4864" w:rsidRDefault="007E4AEA">
      <w:pPr>
        <w:pStyle w:val="ListParagraph"/>
        <w:numPr>
          <w:ilvl w:val="0"/>
          <w:numId w:val="3"/>
        </w:numPr>
        <w:spacing w:after="80" w:line="276" w:lineRule="auto"/>
        <w:jc w:val="both"/>
        <w:rPr>
          <w:rFonts w:ascii="Times New Roman" w:hAnsi="Times New Roman" w:cs="Times New Roman"/>
          <w:sz w:val="24"/>
          <w:szCs w:val="24"/>
        </w:rPr>
      </w:pPr>
      <w:r w:rsidRPr="00CD4864">
        <w:rPr>
          <w:rFonts w:ascii="Times New Roman" w:hAnsi="Times New Roman" w:cs="Times New Roman"/>
          <w:sz w:val="24"/>
          <w:szCs w:val="24"/>
        </w:rPr>
        <w:t>H.G. nr. 907/2016 privind etapele de elaborare și conținutul-cadru al documentațiilor tehnico-economice;</w:t>
      </w:r>
    </w:p>
    <w:p w:rsidR="00965841" w:rsidRPr="00CD4864" w:rsidRDefault="007E4AEA">
      <w:pPr>
        <w:pStyle w:val="ListParagraph"/>
        <w:numPr>
          <w:ilvl w:val="0"/>
          <w:numId w:val="3"/>
        </w:numPr>
        <w:spacing w:after="80" w:line="276" w:lineRule="auto"/>
        <w:jc w:val="both"/>
        <w:rPr>
          <w:rFonts w:ascii="Times New Roman" w:hAnsi="Times New Roman" w:cs="Times New Roman"/>
          <w:sz w:val="24"/>
          <w:szCs w:val="24"/>
        </w:rPr>
      </w:pPr>
      <w:r w:rsidRPr="00CD4864">
        <w:rPr>
          <w:rFonts w:ascii="Times New Roman" w:hAnsi="Times New Roman" w:cs="Times New Roman"/>
          <w:sz w:val="24"/>
          <w:szCs w:val="24"/>
        </w:rPr>
        <w:t>O.G. nr. 43/1997 privind regimul drumurilor, republicată (art. 2, art. 8, art. 14–16, art. 22);</w:t>
      </w:r>
    </w:p>
    <w:p w:rsidR="00965841" w:rsidRPr="00CD4864" w:rsidRDefault="007E4AEA">
      <w:pPr>
        <w:pStyle w:val="ListParagraph"/>
        <w:numPr>
          <w:ilvl w:val="0"/>
          <w:numId w:val="3"/>
        </w:numPr>
        <w:spacing w:after="80" w:line="276" w:lineRule="auto"/>
        <w:jc w:val="both"/>
        <w:rPr>
          <w:rFonts w:ascii="Times New Roman" w:hAnsi="Times New Roman" w:cs="Times New Roman"/>
          <w:sz w:val="24"/>
          <w:szCs w:val="24"/>
        </w:rPr>
      </w:pPr>
      <w:r w:rsidRPr="00CD4864">
        <w:rPr>
          <w:rFonts w:ascii="Times New Roman" w:hAnsi="Times New Roman" w:cs="Times New Roman"/>
          <w:sz w:val="24"/>
          <w:szCs w:val="24"/>
        </w:rPr>
        <w:t>H.G. nr. 525/1996 – Regulamentul general de urbanism (art. 25–29, anexa nr. 4 – accese carosabile, anexa nr. 5 – parcaje);</w:t>
      </w:r>
    </w:p>
    <w:p w:rsidR="00965841" w:rsidRPr="00CD4864" w:rsidRDefault="007E4AEA">
      <w:pPr>
        <w:pStyle w:val="ListParagraph"/>
        <w:numPr>
          <w:ilvl w:val="0"/>
          <w:numId w:val="3"/>
        </w:numPr>
        <w:spacing w:after="80" w:line="276" w:lineRule="auto"/>
        <w:jc w:val="both"/>
        <w:rPr>
          <w:rFonts w:ascii="Times New Roman" w:hAnsi="Times New Roman" w:cs="Times New Roman"/>
          <w:sz w:val="24"/>
          <w:szCs w:val="24"/>
        </w:rPr>
      </w:pPr>
      <w:r w:rsidRPr="00CD4864">
        <w:rPr>
          <w:rFonts w:ascii="Times New Roman" w:hAnsi="Times New Roman" w:cs="Times New Roman"/>
          <w:sz w:val="24"/>
          <w:szCs w:val="24"/>
        </w:rPr>
        <w:t>Legea nr. 50/1991 privind autorizarea executării lucrărilor de construcții;</w:t>
      </w:r>
    </w:p>
    <w:p w:rsidR="00965841" w:rsidRPr="00CD4864" w:rsidRDefault="007E4AEA">
      <w:pPr>
        <w:pStyle w:val="ListParagraph"/>
        <w:numPr>
          <w:ilvl w:val="0"/>
          <w:numId w:val="3"/>
        </w:numPr>
        <w:spacing w:after="80" w:line="276" w:lineRule="auto"/>
        <w:jc w:val="both"/>
        <w:rPr>
          <w:rFonts w:ascii="Times New Roman" w:hAnsi="Times New Roman" w:cs="Times New Roman"/>
          <w:sz w:val="24"/>
          <w:szCs w:val="24"/>
        </w:rPr>
      </w:pPr>
      <w:r w:rsidRPr="00CD4864">
        <w:rPr>
          <w:rFonts w:ascii="Times New Roman" w:hAnsi="Times New Roman" w:cs="Times New Roman"/>
          <w:sz w:val="24"/>
          <w:szCs w:val="24"/>
        </w:rPr>
        <w:t>Legea nr. 10/1995 privind calitatea în construcții;</w:t>
      </w:r>
    </w:p>
    <w:p w:rsidR="00965841" w:rsidRPr="00CD4864" w:rsidRDefault="007E4AEA">
      <w:pPr>
        <w:pStyle w:val="ListParagraph"/>
        <w:numPr>
          <w:ilvl w:val="0"/>
          <w:numId w:val="3"/>
        </w:numPr>
        <w:spacing w:after="80" w:line="276" w:lineRule="auto"/>
        <w:jc w:val="both"/>
        <w:rPr>
          <w:rFonts w:ascii="Times New Roman" w:hAnsi="Times New Roman" w:cs="Times New Roman"/>
          <w:sz w:val="24"/>
          <w:szCs w:val="24"/>
        </w:rPr>
      </w:pPr>
      <w:r w:rsidRPr="00CD4864">
        <w:rPr>
          <w:rFonts w:ascii="Times New Roman" w:hAnsi="Times New Roman" w:cs="Times New Roman"/>
          <w:sz w:val="24"/>
          <w:szCs w:val="24"/>
        </w:rPr>
        <w:t>Legea nr. 98/2016 și H.G. nr. 395/2016 privind achizițiile publice;</w:t>
      </w:r>
    </w:p>
    <w:p w:rsidR="00965841" w:rsidRPr="00CD4864" w:rsidRDefault="007E4AEA">
      <w:pPr>
        <w:pStyle w:val="ListParagraph"/>
        <w:numPr>
          <w:ilvl w:val="0"/>
          <w:numId w:val="3"/>
        </w:numPr>
        <w:spacing w:after="80" w:line="276" w:lineRule="auto"/>
        <w:jc w:val="both"/>
        <w:rPr>
          <w:rFonts w:ascii="Times New Roman" w:hAnsi="Times New Roman" w:cs="Times New Roman"/>
          <w:sz w:val="24"/>
          <w:szCs w:val="24"/>
        </w:rPr>
      </w:pPr>
      <w:r w:rsidRPr="00CD4864">
        <w:rPr>
          <w:rFonts w:ascii="Times New Roman" w:hAnsi="Times New Roman" w:cs="Times New Roman"/>
          <w:sz w:val="24"/>
          <w:szCs w:val="24"/>
        </w:rPr>
        <w:t>normativele tehnice rutiere în vigoare (proiectarea străzilor, structuri rutiere, scurgerea apelor, siguranța circulației).</w:t>
      </w:r>
    </w:p>
    <w:p w:rsidR="00965841" w:rsidRPr="00CD4864" w:rsidRDefault="007E4AEA">
      <w:pPr>
        <w:pStyle w:val="Heading2"/>
        <w:rPr>
          <w:rFonts w:ascii="Times New Roman" w:hAnsi="Times New Roman" w:cs="Times New Roman"/>
          <w:color w:val="auto"/>
          <w:sz w:val="24"/>
          <w:szCs w:val="24"/>
        </w:rPr>
      </w:pPr>
      <w:r w:rsidRPr="00CD4864">
        <w:rPr>
          <w:rFonts w:ascii="Times New Roman" w:hAnsi="Times New Roman" w:cs="Times New Roman"/>
          <w:color w:val="auto"/>
          <w:sz w:val="24"/>
          <w:szCs w:val="24"/>
        </w:rPr>
        <w:t>4.2. Cerințe impuse proiectantului (beneficiar)</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Elaborarea studiului de fezabilitate </w:t>
      </w:r>
      <w:r w:rsidRPr="00CD4864">
        <w:rPr>
          <w:rFonts w:ascii="Times New Roman" w:hAnsi="Times New Roman" w:cs="Times New Roman"/>
          <w:sz w:val="24"/>
          <w:szCs w:val="24"/>
        </w:rPr>
        <w:t>conform H.G. nr. 907/2016, cu minimum două scenarii/alternative tehnico-economice și recomandarea justificată a proiectantului, deviz general și indicatori tehnico-economici.</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lastRenderedPageBreak/>
        <w:t xml:space="preserve">Elaborarea studiilor de teren obligatorii: </w:t>
      </w:r>
      <w:r w:rsidRPr="00CD4864">
        <w:rPr>
          <w:rFonts w:ascii="Times New Roman" w:hAnsi="Times New Roman" w:cs="Times New Roman"/>
          <w:sz w:val="24"/>
          <w:szCs w:val="24"/>
        </w:rPr>
        <w:t>studiu topografic (ridicare topografică a coridorului identificat cadastral) și studiu geotehnic (verificat conform reglementărilor).</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Respectarea cerințelor-cadru minime: </w:t>
      </w:r>
      <w:r w:rsidRPr="00CD4864">
        <w:rPr>
          <w:rFonts w:ascii="Times New Roman" w:hAnsi="Times New Roman" w:cs="Times New Roman"/>
          <w:sz w:val="24"/>
          <w:szCs w:val="24"/>
        </w:rPr>
        <w:t>lățime coridor minim 7,00 m, minimum 2 benzi de circulație, sistem de scurgere a apelor pluviale, trotuar pe cel puțin o latură, racorduri la ambele capete, accese pentru mijloacele de intervenție la incendiu (trafic greu).</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Prevederea, după caz, a canalelor subterane </w:t>
      </w:r>
      <w:r w:rsidRPr="00CD4864">
        <w:rPr>
          <w:rFonts w:ascii="Times New Roman" w:hAnsi="Times New Roman" w:cs="Times New Roman"/>
          <w:sz w:val="24"/>
          <w:szCs w:val="24"/>
        </w:rPr>
        <w:t>pentru rețelele edilitare, conform art. 28 alin. (9) din H.G. nr. 525/1996.</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Obținerea certificatului de urbanism și a tuturor avizelor/acordurilor </w:t>
      </w:r>
      <w:r w:rsidRPr="00CD4864">
        <w:rPr>
          <w:rFonts w:ascii="Times New Roman" w:hAnsi="Times New Roman" w:cs="Times New Roman"/>
          <w:sz w:val="24"/>
          <w:szCs w:val="24"/>
        </w:rPr>
        <w:t>solicitate prin acesta (inclusiv avizul administratorului drumului pentru racorduri și avizele deținătorilor de utilități).</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Asigurarea verificării tehnice a proiectului </w:t>
      </w:r>
      <w:r w:rsidRPr="00CD4864">
        <w:rPr>
          <w:rFonts w:ascii="Times New Roman" w:hAnsi="Times New Roman" w:cs="Times New Roman"/>
          <w:sz w:val="24"/>
          <w:szCs w:val="24"/>
        </w:rPr>
        <w:t>de către verificatori de proiecte atestați, pe domeniile/exigențele aplicabile.</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Corelarea cu procedura de dobândire a terenului: </w:t>
      </w:r>
      <w:r w:rsidRPr="00CD4864">
        <w:rPr>
          <w:rFonts w:ascii="Times New Roman" w:hAnsi="Times New Roman" w:cs="Times New Roman"/>
          <w:sz w:val="24"/>
          <w:szCs w:val="24"/>
        </w:rPr>
        <w:t>proiectarea se realizează pe coridorul pus la dispoziție de beneficiar, iar soluțiile nu vor depăși limitele acestui coridor fără acordul prealabil al beneficiarului.</w:t>
      </w:r>
    </w:p>
    <w:p w:rsidR="00965841" w:rsidRPr="00CD4864" w:rsidRDefault="007E4AEA">
      <w:pPr>
        <w:pStyle w:val="ListParagraph"/>
        <w:numPr>
          <w:ilvl w:val="0"/>
          <w:numId w:val="4"/>
        </w:numPr>
        <w:spacing w:after="80" w:line="276" w:lineRule="auto"/>
        <w:jc w:val="both"/>
        <w:rPr>
          <w:rFonts w:ascii="Times New Roman" w:hAnsi="Times New Roman" w:cs="Times New Roman"/>
          <w:sz w:val="24"/>
          <w:szCs w:val="24"/>
        </w:rPr>
      </w:pPr>
      <w:r w:rsidRPr="00CD4864">
        <w:rPr>
          <w:rFonts w:ascii="Times New Roman" w:hAnsi="Times New Roman" w:cs="Times New Roman"/>
          <w:b/>
          <w:bCs/>
          <w:sz w:val="24"/>
          <w:szCs w:val="24"/>
        </w:rPr>
        <w:t xml:space="preserve">Predarea documentațiilor </w:t>
      </w:r>
      <w:r w:rsidRPr="00CD4864">
        <w:rPr>
          <w:rFonts w:ascii="Times New Roman" w:hAnsi="Times New Roman" w:cs="Times New Roman"/>
          <w:sz w:val="24"/>
          <w:szCs w:val="24"/>
        </w:rPr>
        <w:t>în format editabil și tipărit, în numărul de exemplare stabilit prin contract, cu asigurarea asistenței tehnice a proiectantului pe parcursul execuției.</w:t>
      </w:r>
    </w:p>
    <w:p w:rsidR="005A6AB5" w:rsidRDefault="005A6AB5">
      <w:pPr>
        <w:spacing w:before="340" w:after="40"/>
        <w:rPr>
          <w:rFonts w:ascii="Times New Roman" w:hAnsi="Times New Roman" w:cs="Times New Roman"/>
          <w:sz w:val="24"/>
          <w:szCs w:val="24"/>
        </w:rPr>
      </w:pPr>
    </w:p>
    <w:p w:rsidR="00B679A9" w:rsidRDefault="00B679A9" w:rsidP="00B679A9">
      <w:pPr>
        <w:rPr>
          <w:rFonts w:ascii="Times New Roman" w:hAnsi="Times New Roman" w:cs="Times New Roman"/>
          <w:sz w:val="24"/>
          <w:szCs w:val="24"/>
        </w:rPr>
      </w:pPr>
    </w:p>
    <w:p w:rsidR="00B679A9" w:rsidRDefault="00B679A9" w:rsidP="00B679A9">
      <w:pPr>
        <w:jc w:val="center"/>
        <w:rPr>
          <w:rFonts w:ascii="Times New Roman" w:hAnsi="Times New Roman" w:cs="Times New Roman"/>
          <w:sz w:val="24"/>
          <w:szCs w:val="24"/>
        </w:rPr>
      </w:pPr>
    </w:p>
    <w:p w:rsidR="00B679A9" w:rsidRDefault="00B679A9" w:rsidP="00B679A9">
      <w:pPr>
        <w:tabs>
          <w:tab w:val="left" w:pos="3975"/>
        </w:tabs>
        <w:jc w:val="center"/>
        <w:rPr>
          <w:rFonts w:ascii="Times New Roman" w:hAnsi="Times New Roman" w:cs="Times New Roman"/>
          <w:sz w:val="24"/>
          <w:szCs w:val="24"/>
        </w:rPr>
      </w:pPr>
      <w:r>
        <w:rPr>
          <w:rFonts w:ascii="Times New Roman" w:hAnsi="Times New Roman" w:cs="Times New Roman"/>
          <w:sz w:val="24"/>
          <w:szCs w:val="24"/>
        </w:rPr>
        <w:t>Întocmit,</w:t>
      </w:r>
    </w:p>
    <w:p w:rsidR="00B679A9" w:rsidRDefault="00B679A9" w:rsidP="00B679A9">
      <w:pPr>
        <w:tabs>
          <w:tab w:val="left" w:pos="3975"/>
        </w:tabs>
        <w:jc w:val="center"/>
        <w:rPr>
          <w:rFonts w:ascii="Times New Roman" w:hAnsi="Times New Roman" w:cs="Times New Roman"/>
          <w:sz w:val="24"/>
          <w:szCs w:val="24"/>
        </w:rPr>
      </w:pPr>
      <w:r>
        <w:rPr>
          <w:rFonts w:ascii="Times New Roman" w:hAnsi="Times New Roman" w:cs="Times New Roman"/>
          <w:sz w:val="24"/>
          <w:szCs w:val="24"/>
        </w:rPr>
        <w:t>Roșu Cristian</w:t>
      </w:r>
    </w:p>
    <w:p w:rsidR="00834B13" w:rsidRDefault="00834B13" w:rsidP="00B679A9">
      <w:pPr>
        <w:tabs>
          <w:tab w:val="left" w:pos="3975"/>
        </w:tabs>
        <w:jc w:val="center"/>
        <w:rPr>
          <w:rFonts w:ascii="Times New Roman" w:hAnsi="Times New Roman" w:cs="Times New Roman"/>
          <w:sz w:val="24"/>
          <w:szCs w:val="24"/>
        </w:rPr>
      </w:pPr>
    </w:p>
    <w:p w:rsidR="00834B13" w:rsidRDefault="00834B13" w:rsidP="00B679A9">
      <w:pPr>
        <w:tabs>
          <w:tab w:val="left" w:pos="3975"/>
        </w:tabs>
        <w:jc w:val="center"/>
        <w:rPr>
          <w:rFonts w:ascii="Times New Roman" w:hAnsi="Times New Roman" w:cs="Times New Roman"/>
          <w:sz w:val="24"/>
          <w:szCs w:val="24"/>
        </w:rPr>
      </w:pPr>
    </w:p>
    <w:p w:rsidR="00834B13" w:rsidRPr="005B0B62" w:rsidRDefault="00834B13" w:rsidP="00834B13">
      <w:pPr>
        <w:tabs>
          <w:tab w:val="left" w:pos="810"/>
          <w:tab w:val="center" w:pos="4320"/>
        </w:tabs>
        <w:ind w:left="270" w:firstLine="450"/>
        <w:rPr>
          <w:b/>
          <w:bCs/>
        </w:rPr>
      </w:pPr>
      <w:r w:rsidRPr="005B0B62">
        <w:rPr>
          <w:b/>
          <w:bCs/>
        </w:rPr>
        <w:t xml:space="preserve">Initiator:                            </w:t>
      </w:r>
      <w:r>
        <w:rPr>
          <w:b/>
          <w:bCs/>
        </w:rPr>
        <w:t xml:space="preserve">                             </w:t>
      </w:r>
      <w:r w:rsidRPr="005B0B62">
        <w:rPr>
          <w:b/>
          <w:bCs/>
        </w:rPr>
        <w:t xml:space="preserve">   AVIZAT PENTRU LEGALITATE:</w:t>
      </w:r>
    </w:p>
    <w:p w:rsidR="00834B13" w:rsidRDefault="00834B13" w:rsidP="00834B13">
      <w:pPr>
        <w:tabs>
          <w:tab w:val="left" w:pos="810"/>
          <w:tab w:val="center" w:pos="1260"/>
        </w:tabs>
        <w:rPr>
          <w:b/>
          <w:bCs/>
        </w:rPr>
      </w:pPr>
      <w:r w:rsidRPr="005B0B62">
        <w:rPr>
          <w:b/>
          <w:bCs/>
        </w:rPr>
        <w:t xml:space="preserve">      Primarul comunei,                                                          SECRETARUL GENERAL,</w:t>
      </w:r>
      <w:r>
        <w:rPr>
          <w:b/>
          <w:bCs/>
        </w:rPr>
        <w:t xml:space="preserve">  Marcelin-Iosif TRIFESCU</w:t>
      </w:r>
      <w:r w:rsidRPr="005B0B62">
        <w:rPr>
          <w:b/>
          <w:bCs/>
        </w:rPr>
        <w:t xml:space="preserve">                               </w:t>
      </w:r>
      <w:r>
        <w:rPr>
          <w:b/>
          <w:bCs/>
        </w:rPr>
        <w:t xml:space="preserve">                        </w:t>
      </w:r>
      <w:r w:rsidRPr="005B0B62">
        <w:rPr>
          <w:b/>
          <w:bCs/>
        </w:rPr>
        <w:t xml:space="preserve">      Laurențiu COȘA</w:t>
      </w:r>
    </w:p>
    <w:p w:rsidR="00834B13" w:rsidRPr="00B679A9" w:rsidRDefault="00834B13" w:rsidP="00B679A9">
      <w:pPr>
        <w:tabs>
          <w:tab w:val="left" w:pos="3975"/>
        </w:tabs>
        <w:jc w:val="center"/>
        <w:rPr>
          <w:rFonts w:ascii="Times New Roman" w:hAnsi="Times New Roman" w:cs="Times New Roman"/>
          <w:sz w:val="24"/>
          <w:szCs w:val="24"/>
        </w:rPr>
      </w:pPr>
    </w:p>
    <w:sectPr w:rsidR="00834B13" w:rsidRPr="00B679A9" w:rsidSect="00E03A9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199" w:rsidRDefault="009C4199">
      <w:r>
        <w:separator/>
      </w:r>
    </w:p>
  </w:endnote>
  <w:endnote w:type="continuationSeparator" w:id="0">
    <w:p w:rsidR="009C4199" w:rsidRDefault="009C419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41" w:rsidRDefault="007E4AEA">
    <w:pPr>
      <w:jc w:val="center"/>
    </w:pPr>
    <w:r>
      <w:rPr>
        <w:color w:val="808080"/>
        <w:sz w:val="18"/>
        <w:szCs w:val="18"/>
      </w:rPr>
      <w:t xml:space="preserve">Pagina </w:t>
    </w:r>
    <w:r w:rsidR="00E03A92">
      <w:rPr>
        <w:color w:val="808080"/>
        <w:sz w:val="18"/>
        <w:szCs w:val="18"/>
      </w:rPr>
      <w:fldChar w:fldCharType="begin"/>
    </w:r>
    <w:r>
      <w:rPr>
        <w:color w:val="808080"/>
        <w:sz w:val="18"/>
        <w:szCs w:val="18"/>
      </w:rPr>
      <w:instrText>PAGE</w:instrText>
    </w:r>
    <w:r w:rsidR="00E03A92">
      <w:rPr>
        <w:color w:val="808080"/>
        <w:sz w:val="18"/>
        <w:szCs w:val="18"/>
      </w:rPr>
      <w:fldChar w:fldCharType="separate"/>
    </w:r>
    <w:r w:rsidR="00834B13">
      <w:rPr>
        <w:noProof/>
        <w:color w:val="808080"/>
        <w:sz w:val="18"/>
        <w:szCs w:val="18"/>
      </w:rPr>
      <w:t>2</w:t>
    </w:r>
    <w:r w:rsidR="00E03A92">
      <w:rPr>
        <w:color w:val="80808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199" w:rsidRDefault="009C4199">
      <w:r>
        <w:separator/>
      </w:r>
    </w:p>
  </w:footnote>
  <w:footnote w:type="continuationSeparator" w:id="0">
    <w:p w:rsidR="009C4199" w:rsidRDefault="009C41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73" w:type="dxa"/>
      <w:jc w:val="center"/>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10873"/>
    </w:tblGrid>
    <w:tr w:rsidR="00A60D64" w:rsidRPr="001C6C92" w:rsidTr="00035C1E">
      <w:trPr>
        <w:trHeight w:val="243"/>
        <w:jc w:val="center"/>
      </w:trPr>
      <w:tc>
        <w:tcPr>
          <w:tcW w:w="10873" w:type="dxa"/>
          <w:tcBorders>
            <w:top w:val="triple" w:sz="4" w:space="0" w:color="auto"/>
            <w:left w:val="triple" w:sz="4" w:space="0" w:color="auto"/>
            <w:bottom w:val="triple" w:sz="4" w:space="0" w:color="auto"/>
            <w:right w:val="triple" w:sz="4" w:space="0" w:color="auto"/>
          </w:tcBorders>
          <w:hideMark/>
        </w:tcPr>
        <w:p w:rsidR="00A60D64" w:rsidRPr="00D14CE7" w:rsidRDefault="00A60D64" w:rsidP="00A60D64">
          <w:pPr>
            <w:jc w:val="center"/>
            <w:rPr>
              <w:b/>
              <w:sz w:val="8"/>
              <w:szCs w:val="8"/>
            </w:rPr>
          </w:pPr>
        </w:p>
        <w:p w:rsidR="00A60D64" w:rsidRPr="00EB74EA" w:rsidRDefault="00A60D64" w:rsidP="00A60D64">
          <w:pPr>
            <w:jc w:val="center"/>
            <w:rPr>
              <w:b/>
              <w:szCs w:val="20"/>
            </w:rPr>
          </w:pPr>
          <w:r w:rsidRPr="00EB74EA">
            <w:rPr>
              <w:b/>
              <w:szCs w:val="20"/>
            </w:rPr>
            <w:t xml:space="preserve">ROMÂNIA </w:t>
          </w:r>
        </w:p>
        <w:p w:rsidR="00A60D64" w:rsidRPr="00EB74EA" w:rsidRDefault="00A60D64" w:rsidP="00A60D64">
          <w:pPr>
            <w:jc w:val="center"/>
            <w:rPr>
              <w:b/>
              <w:szCs w:val="20"/>
            </w:rPr>
          </w:pPr>
          <w:r w:rsidRPr="00EB74EA">
            <w:rPr>
              <w:b/>
              <w:szCs w:val="20"/>
            </w:rPr>
            <w:t>JUDEŢUL BACĂU</w:t>
          </w:r>
        </w:p>
        <w:p w:rsidR="00A60D64" w:rsidRPr="00EB74EA" w:rsidRDefault="00A60D64" w:rsidP="00A60D64">
          <w:pPr>
            <w:jc w:val="center"/>
            <w:rPr>
              <w:b/>
              <w:szCs w:val="20"/>
            </w:rPr>
          </w:pPr>
          <w:r w:rsidRPr="00EB74EA">
            <w:rPr>
              <w:b/>
              <w:szCs w:val="20"/>
            </w:rPr>
            <w:t>COMUNA NICOLAE BĂLCESCU</w:t>
          </w:r>
        </w:p>
        <w:p w:rsidR="00A60D64" w:rsidRPr="00EB74EA" w:rsidRDefault="00A60D64" w:rsidP="00A60D64">
          <w:pPr>
            <w:jc w:val="center"/>
            <w:rPr>
              <w:sz w:val="16"/>
              <w:szCs w:val="18"/>
            </w:rPr>
          </w:pPr>
          <w:r w:rsidRPr="00EB74EA">
            <w:rPr>
              <w:sz w:val="16"/>
              <w:szCs w:val="18"/>
            </w:rPr>
            <w:t xml:space="preserve">Add: Comuna N. Bălcescu, Str. Eroilor, Nr. 380, CUI 4353234, </w:t>
          </w:r>
        </w:p>
        <w:p w:rsidR="00A60D64" w:rsidRPr="00EB74EA" w:rsidRDefault="00A60D64" w:rsidP="00A60D64">
          <w:pPr>
            <w:jc w:val="center"/>
            <w:rPr>
              <w:sz w:val="16"/>
              <w:szCs w:val="18"/>
            </w:rPr>
          </w:pPr>
          <w:r w:rsidRPr="00EB74EA">
            <w:rPr>
              <w:sz w:val="16"/>
              <w:szCs w:val="18"/>
            </w:rPr>
            <w:t>Tel 0234 214 071, Fax 0234 214 016</w:t>
          </w:r>
        </w:p>
        <w:p w:rsidR="00A60D64" w:rsidRPr="00804F63" w:rsidRDefault="00A60D64" w:rsidP="00A60D64">
          <w:pPr>
            <w:jc w:val="center"/>
            <w:rPr>
              <w:color w:val="0563C1"/>
              <w:sz w:val="16"/>
              <w:szCs w:val="18"/>
              <w:u w:val="single"/>
            </w:rPr>
          </w:pPr>
          <w:r w:rsidRPr="00EB74EA">
            <w:rPr>
              <w:sz w:val="16"/>
              <w:szCs w:val="18"/>
            </w:rPr>
            <w:t xml:space="preserve">e-mail: </w:t>
          </w:r>
          <w:hyperlink r:id="rId1" w:history="1">
            <w:r w:rsidRPr="00EB74EA">
              <w:rPr>
                <w:rStyle w:val="Hyperlink"/>
                <w:sz w:val="16"/>
                <w:szCs w:val="18"/>
              </w:rPr>
              <w:t>registratura@primaria-nicolae-balcescu.ro</w:t>
            </w:r>
          </w:hyperlink>
        </w:p>
        <w:p w:rsidR="00A60D64" w:rsidRPr="00EB74EA" w:rsidRDefault="00A60D64" w:rsidP="00A60D64">
          <w:pPr>
            <w:jc w:val="center"/>
            <w:rPr>
              <w:sz w:val="16"/>
              <w:szCs w:val="18"/>
            </w:rPr>
          </w:pPr>
          <w:r w:rsidRPr="00EB74EA">
            <w:rPr>
              <w:sz w:val="16"/>
              <w:szCs w:val="18"/>
            </w:rPr>
            <w:t xml:space="preserve">                        web: </w:t>
          </w:r>
          <w:hyperlink r:id="rId2" w:history="1">
            <w:r w:rsidRPr="00EB74EA">
              <w:rPr>
                <w:rStyle w:val="Hyperlink"/>
                <w:sz w:val="16"/>
                <w:szCs w:val="18"/>
              </w:rPr>
              <w:t>www.primaria-nicolae-balcescu.ro</w:t>
            </w:r>
          </w:hyperlink>
        </w:p>
        <w:p w:rsidR="00A60D64" w:rsidRPr="00D14CE7" w:rsidRDefault="00A60D64" w:rsidP="00A60D64">
          <w:pPr>
            <w:jc w:val="center"/>
            <w:rPr>
              <w:sz w:val="8"/>
              <w:szCs w:val="8"/>
            </w:rPr>
          </w:pPr>
          <w:r>
            <w:rPr>
              <w:noProof/>
              <w:sz w:val="3276"/>
              <w:szCs w:val="3276"/>
              <w:lang w:val="en-US" w:eastAsia="en-US"/>
            </w:rPr>
            <w:drawing>
              <wp:anchor distT="0" distB="0" distL="114300" distR="114300" simplePos="0" relativeHeight="251659264" behindDoc="1" locked="0" layoutInCell="1" allowOverlap="1">
                <wp:simplePos x="0" y="0"/>
                <wp:positionH relativeFrom="column">
                  <wp:posOffset>175260</wp:posOffset>
                </wp:positionH>
                <wp:positionV relativeFrom="paragraph">
                  <wp:posOffset>-882650</wp:posOffset>
                </wp:positionV>
                <wp:extent cx="742950" cy="904875"/>
                <wp:effectExtent l="0" t="0" r="0" b="9525"/>
                <wp:wrapTight wrapText="bothSides">
                  <wp:wrapPolygon edited="0">
                    <wp:start x="0" y="0"/>
                    <wp:lineTo x="0" y="17280"/>
                    <wp:lineTo x="4985" y="20463"/>
                    <wp:lineTo x="8308" y="21373"/>
                    <wp:lineTo x="13846" y="21373"/>
                    <wp:lineTo x="17169" y="20463"/>
                    <wp:lineTo x="21046" y="17735"/>
                    <wp:lineTo x="21046" y="0"/>
                    <wp:lineTo x="0" y="0"/>
                  </wp:wrapPolygon>
                </wp:wrapTight>
                <wp:docPr id="735132145" name="Picture 2" descr="Imagini pentru stema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ini pentru stema romania"/>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526" t="-1741" r="-3448" b="-4729"/>
                        <a:stretch>
                          <a:fillRect/>
                        </a:stretch>
                      </pic:blipFill>
                      <pic:spPr bwMode="auto">
                        <a:xfrm>
                          <a:off x="0" y="0"/>
                          <a:ext cx="742950" cy="904875"/>
                        </a:xfrm>
                        <a:prstGeom prst="rect">
                          <a:avLst/>
                        </a:prstGeom>
                        <a:noFill/>
                      </pic:spPr>
                    </pic:pic>
                  </a:graphicData>
                </a:graphic>
              </wp:anchor>
            </w:drawing>
          </w:r>
          <w:r>
            <w:rPr>
              <w:noProof/>
              <w:sz w:val="3276"/>
              <w:szCs w:val="3276"/>
              <w:lang w:val="en-US" w:eastAsia="en-US"/>
            </w:rPr>
            <w:drawing>
              <wp:anchor distT="0" distB="0" distL="114300" distR="114300" simplePos="0" relativeHeight="251660288" behindDoc="1" locked="0" layoutInCell="1" allowOverlap="1">
                <wp:simplePos x="0" y="0"/>
                <wp:positionH relativeFrom="column">
                  <wp:posOffset>5960110</wp:posOffset>
                </wp:positionH>
                <wp:positionV relativeFrom="paragraph">
                  <wp:posOffset>-1056005</wp:posOffset>
                </wp:positionV>
                <wp:extent cx="939800" cy="1026160"/>
                <wp:effectExtent l="0" t="0" r="0" b="2540"/>
                <wp:wrapTight wrapText="bothSides">
                  <wp:wrapPolygon edited="0">
                    <wp:start x="3065" y="0"/>
                    <wp:lineTo x="2189" y="1604"/>
                    <wp:lineTo x="1751" y="19248"/>
                    <wp:lineTo x="2627" y="21252"/>
                    <wp:lineTo x="18827" y="21252"/>
                    <wp:lineTo x="19703" y="19248"/>
                    <wp:lineTo x="21016" y="8421"/>
                    <wp:lineTo x="21016" y="6416"/>
                    <wp:lineTo x="19265" y="1604"/>
                    <wp:lineTo x="18389" y="0"/>
                    <wp:lineTo x="3065" y="0"/>
                  </wp:wrapPolygon>
                </wp:wrapTight>
                <wp:docPr id="397054497"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099" b="14476"/>
                        <a:stretch>
                          <a:fillRect/>
                        </a:stretch>
                      </pic:blipFill>
                      <pic:spPr bwMode="auto">
                        <a:xfrm>
                          <a:off x="0" y="0"/>
                          <a:ext cx="939800" cy="1026160"/>
                        </a:xfrm>
                        <a:prstGeom prst="rect">
                          <a:avLst/>
                        </a:prstGeom>
                        <a:noFill/>
                      </pic:spPr>
                    </pic:pic>
                  </a:graphicData>
                </a:graphic>
              </wp:anchor>
            </w:drawing>
          </w:r>
        </w:p>
      </w:tc>
    </w:tr>
  </w:tbl>
  <w:p w:rsidR="00A60D64" w:rsidRDefault="00834B13" w:rsidP="00CD4864">
    <w:pPr>
      <w:tabs>
        <w:tab w:val="center" w:pos="4680"/>
        <w:tab w:val="right" w:pos="9360"/>
      </w:tabs>
    </w:pPr>
    <w:r>
      <w:tab/>
    </w:r>
    <w:r>
      <w:tab/>
      <w:t>Anexa 2 la PH 67/05/2026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3E18"/>
    <w:multiLevelType w:val="hybridMultilevel"/>
    <w:tmpl w:val="99586BD0"/>
    <w:lvl w:ilvl="0" w:tplc="6F7C424C">
      <w:start w:val="1"/>
      <w:numFmt w:val="bullet"/>
      <w:lvlText w:val="•"/>
      <w:lvlJc w:val="left"/>
      <w:pPr>
        <w:ind w:left="600" w:hanging="300"/>
      </w:pPr>
    </w:lvl>
    <w:lvl w:ilvl="1" w:tplc="A98C0488">
      <w:numFmt w:val="decimal"/>
      <w:lvlText w:val=""/>
      <w:lvlJc w:val="left"/>
    </w:lvl>
    <w:lvl w:ilvl="2" w:tplc="12B054F0">
      <w:numFmt w:val="decimal"/>
      <w:lvlText w:val=""/>
      <w:lvlJc w:val="left"/>
    </w:lvl>
    <w:lvl w:ilvl="3" w:tplc="064E1A42">
      <w:numFmt w:val="decimal"/>
      <w:lvlText w:val=""/>
      <w:lvlJc w:val="left"/>
    </w:lvl>
    <w:lvl w:ilvl="4" w:tplc="DFCE9874">
      <w:numFmt w:val="decimal"/>
      <w:lvlText w:val=""/>
      <w:lvlJc w:val="left"/>
    </w:lvl>
    <w:lvl w:ilvl="5" w:tplc="43E05578">
      <w:numFmt w:val="decimal"/>
      <w:lvlText w:val=""/>
      <w:lvlJc w:val="left"/>
    </w:lvl>
    <w:lvl w:ilvl="6" w:tplc="32D8F6D8">
      <w:numFmt w:val="decimal"/>
      <w:lvlText w:val=""/>
      <w:lvlJc w:val="left"/>
    </w:lvl>
    <w:lvl w:ilvl="7" w:tplc="48F69788">
      <w:numFmt w:val="decimal"/>
      <w:lvlText w:val=""/>
      <w:lvlJc w:val="left"/>
    </w:lvl>
    <w:lvl w:ilvl="8" w:tplc="E47E58CC">
      <w:numFmt w:val="decimal"/>
      <w:lvlText w:val=""/>
      <w:lvlJc w:val="left"/>
    </w:lvl>
  </w:abstractNum>
  <w:abstractNum w:abstractNumId="1">
    <w:nsid w:val="1B356E5B"/>
    <w:multiLevelType w:val="hybridMultilevel"/>
    <w:tmpl w:val="E57E9E74"/>
    <w:lvl w:ilvl="0" w:tplc="494C619C">
      <w:start w:val="1"/>
      <w:numFmt w:val="decimal"/>
      <w:lvlText w:val="%1."/>
      <w:lvlJc w:val="left"/>
      <w:pPr>
        <w:ind w:left="600" w:hanging="360"/>
      </w:pPr>
    </w:lvl>
    <w:lvl w:ilvl="1" w:tplc="F7E4A072">
      <w:numFmt w:val="decimal"/>
      <w:lvlText w:val=""/>
      <w:lvlJc w:val="left"/>
    </w:lvl>
    <w:lvl w:ilvl="2" w:tplc="C050793C">
      <w:numFmt w:val="decimal"/>
      <w:lvlText w:val=""/>
      <w:lvlJc w:val="left"/>
    </w:lvl>
    <w:lvl w:ilvl="3" w:tplc="80A2467E">
      <w:numFmt w:val="decimal"/>
      <w:lvlText w:val=""/>
      <w:lvlJc w:val="left"/>
    </w:lvl>
    <w:lvl w:ilvl="4" w:tplc="9B70AA86">
      <w:numFmt w:val="decimal"/>
      <w:lvlText w:val=""/>
      <w:lvlJc w:val="left"/>
    </w:lvl>
    <w:lvl w:ilvl="5" w:tplc="48983E7A">
      <w:numFmt w:val="decimal"/>
      <w:lvlText w:val=""/>
      <w:lvlJc w:val="left"/>
    </w:lvl>
    <w:lvl w:ilvl="6" w:tplc="30AC82A4">
      <w:numFmt w:val="decimal"/>
      <w:lvlText w:val=""/>
      <w:lvlJc w:val="left"/>
    </w:lvl>
    <w:lvl w:ilvl="7" w:tplc="301E3870">
      <w:numFmt w:val="decimal"/>
      <w:lvlText w:val=""/>
      <w:lvlJc w:val="left"/>
    </w:lvl>
    <w:lvl w:ilvl="8" w:tplc="A0C09294">
      <w:numFmt w:val="decimal"/>
      <w:lvlText w:val=""/>
      <w:lvlJc w:val="left"/>
    </w:lvl>
  </w:abstractNum>
  <w:abstractNum w:abstractNumId="2">
    <w:nsid w:val="25EE4F78"/>
    <w:multiLevelType w:val="hybridMultilevel"/>
    <w:tmpl w:val="F3CC904C"/>
    <w:lvl w:ilvl="0" w:tplc="48BE3570">
      <w:start w:val="1"/>
      <w:numFmt w:val="bullet"/>
      <w:lvlText w:val="●"/>
      <w:lvlJc w:val="left"/>
      <w:pPr>
        <w:ind w:left="720" w:hanging="360"/>
      </w:pPr>
    </w:lvl>
    <w:lvl w:ilvl="1" w:tplc="8B4A0B32">
      <w:start w:val="1"/>
      <w:numFmt w:val="bullet"/>
      <w:lvlText w:val="○"/>
      <w:lvlJc w:val="left"/>
      <w:pPr>
        <w:ind w:left="1440" w:hanging="360"/>
      </w:pPr>
    </w:lvl>
    <w:lvl w:ilvl="2" w:tplc="D3A4F580">
      <w:start w:val="1"/>
      <w:numFmt w:val="bullet"/>
      <w:lvlText w:val="■"/>
      <w:lvlJc w:val="left"/>
      <w:pPr>
        <w:ind w:left="2160" w:hanging="360"/>
      </w:pPr>
    </w:lvl>
    <w:lvl w:ilvl="3" w:tplc="BA0296AE">
      <w:start w:val="1"/>
      <w:numFmt w:val="bullet"/>
      <w:lvlText w:val="●"/>
      <w:lvlJc w:val="left"/>
      <w:pPr>
        <w:ind w:left="2880" w:hanging="360"/>
      </w:pPr>
    </w:lvl>
    <w:lvl w:ilvl="4" w:tplc="03D0B0F2">
      <w:start w:val="1"/>
      <w:numFmt w:val="bullet"/>
      <w:lvlText w:val="○"/>
      <w:lvlJc w:val="left"/>
      <w:pPr>
        <w:ind w:left="3600" w:hanging="360"/>
      </w:pPr>
    </w:lvl>
    <w:lvl w:ilvl="5" w:tplc="BF7810FE">
      <w:start w:val="1"/>
      <w:numFmt w:val="bullet"/>
      <w:lvlText w:val="■"/>
      <w:lvlJc w:val="left"/>
      <w:pPr>
        <w:ind w:left="4320" w:hanging="360"/>
      </w:pPr>
    </w:lvl>
    <w:lvl w:ilvl="6" w:tplc="440253A8">
      <w:start w:val="1"/>
      <w:numFmt w:val="bullet"/>
      <w:lvlText w:val="●"/>
      <w:lvlJc w:val="left"/>
      <w:pPr>
        <w:ind w:left="5040" w:hanging="360"/>
      </w:pPr>
    </w:lvl>
    <w:lvl w:ilvl="7" w:tplc="D124E598">
      <w:start w:val="1"/>
      <w:numFmt w:val="bullet"/>
      <w:lvlText w:val="●"/>
      <w:lvlJc w:val="left"/>
      <w:pPr>
        <w:ind w:left="5760" w:hanging="360"/>
      </w:pPr>
    </w:lvl>
    <w:lvl w:ilvl="8" w:tplc="899C921A">
      <w:start w:val="1"/>
      <w:numFmt w:val="bullet"/>
      <w:lvlText w:val="●"/>
      <w:lvlJc w:val="left"/>
      <w:pPr>
        <w:ind w:left="6480" w:hanging="360"/>
      </w:pPr>
    </w:lvl>
  </w:abstractNum>
  <w:abstractNum w:abstractNumId="3">
    <w:nsid w:val="3F335846"/>
    <w:multiLevelType w:val="hybridMultilevel"/>
    <w:tmpl w:val="7D3CF39E"/>
    <w:lvl w:ilvl="0" w:tplc="852097DA">
      <w:start w:val="1"/>
      <w:numFmt w:val="lowerLetter"/>
      <w:lvlText w:val="%1)"/>
      <w:lvlJc w:val="left"/>
      <w:pPr>
        <w:ind w:left="600" w:hanging="360"/>
      </w:pPr>
    </w:lvl>
    <w:lvl w:ilvl="1" w:tplc="305234A6">
      <w:numFmt w:val="decimal"/>
      <w:lvlText w:val=""/>
      <w:lvlJc w:val="left"/>
    </w:lvl>
    <w:lvl w:ilvl="2" w:tplc="1BC0FB04">
      <w:numFmt w:val="decimal"/>
      <w:lvlText w:val=""/>
      <w:lvlJc w:val="left"/>
    </w:lvl>
    <w:lvl w:ilvl="3" w:tplc="8CF62132">
      <w:numFmt w:val="decimal"/>
      <w:lvlText w:val=""/>
      <w:lvlJc w:val="left"/>
    </w:lvl>
    <w:lvl w:ilvl="4" w:tplc="E536CA36">
      <w:numFmt w:val="decimal"/>
      <w:lvlText w:val=""/>
      <w:lvlJc w:val="left"/>
    </w:lvl>
    <w:lvl w:ilvl="5" w:tplc="F482A3CC">
      <w:numFmt w:val="decimal"/>
      <w:lvlText w:val=""/>
      <w:lvlJc w:val="left"/>
    </w:lvl>
    <w:lvl w:ilvl="6" w:tplc="5BF2D616">
      <w:numFmt w:val="decimal"/>
      <w:lvlText w:val=""/>
      <w:lvlJc w:val="left"/>
    </w:lvl>
    <w:lvl w:ilvl="7" w:tplc="CB4CD840">
      <w:numFmt w:val="decimal"/>
      <w:lvlText w:val=""/>
      <w:lvlJc w:val="left"/>
    </w:lvl>
    <w:lvl w:ilvl="8" w:tplc="A2229404">
      <w:numFmt w:val="decimal"/>
      <w:lvlText w:val=""/>
      <w:lvlJc w:val="left"/>
    </w:lvl>
  </w:abstractNum>
  <w:num w:numId="1">
    <w:abstractNumId w:val="2"/>
    <w:lvlOverride w:ilvl="0">
      <w:startOverride w:val="1"/>
    </w:lvlOverride>
  </w:num>
  <w:num w:numId="2">
    <w:abstractNumId w:val="3"/>
    <w:lvlOverride w:ilvl="0">
      <w:startOverride w:val="1"/>
    </w:lvlOverride>
  </w:num>
  <w:num w:numId="3">
    <w:abstractNumId w:val="0"/>
    <w:lvlOverride w:ilvl="0">
      <w:startOverride w:val="1"/>
    </w:lvlOverride>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965841"/>
    <w:rsid w:val="002161B6"/>
    <w:rsid w:val="00271D89"/>
    <w:rsid w:val="002864B4"/>
    <w:rsid w:val="004F6735"/>
    <w:rsid w:val="005A6AB5"/>
    <w:rsid w:val="00727661"/>
    <w:rsid w:val="00792D6E"/>
    <w:rsid w:val="007E4AEA"/>
    <w:rsid w:val="00831137"/>
    <w:rsid w:val="008324D6"/>
    <w:rsid w:val="00834B13"/>
    <w:rsid w:val="00862D27"/>
    <w:rsid w:val="008972A2"/>
    <w:rsid w:val="008F6C27"/>
    <w:rsid w:val="00965841"/>
    <w:rsid w:val="00990B18"/>
    <w:rsid w:val="009C4199"/>
    <w:rsid w:val="00A4475F"/>
    <w:rsid w:val="00A60D64"/>
    <w:rsid w:val="00B0700F"/>
    <w:rsid w:val="00B679A9"/>
    <w:rsid w:val="00C85D0B"/>
    <w:rsid w:val="00CD4864"/>
    <w:rsid w:val="00D14B7C"/>
    <w:rsid w:val="00E03A92"/>
    <w:rsid w:val="00ED77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A92"/>
  </w:style>
  <w:style w:type="paragraph" w:styleId="Heading1">
    <w:name w:val="heading 1"/>
    <w:uiPriority w:val="9"/>
    <w:qFormat/>
    <w:rsid w:val="00E03A92"/>
    <w:pPr>
      <w:spacing w:before="260" w:after="140"/>
      <w:outlineLvl w:val="0"/>
    </w:pPr>
    <w:rPr>
      <w:b/>
      <w:bCs/>
      <w:color w:val="1F4E79"/>
      <w:sz w:val="26"/>
      <w:szCs w:val="26"/>
    </w:rPr>
  </w:style>
  <w:style w:type="paragraph" w:styleId="Heading2">
    <w:name w:val="heading 2"/>
    <w:uiPriority w:val="9"/>
    <w:unhideWhenUsed/>
    <w:qFormat/>
    <w:rsid w:val="00E03A92"/>
    <w:pPr>
      <w:spacing w:before="160" w:after="100"/>
      <w:outlineLvl w:val="1"/>
    </w:pPr>
    <w:rPr>
      <w:b/>
      <w:bCs/>
      <w:color w:val="2E75B6"/>
      <w:sz w:val="23"/>
      <w:szCs w:val="23"/>
    </w:rPr>
  </w:style>
  <w:style w:type="paragraph" w:styleId="Heading3">
    <w:name w:val="heading 3"/>
    <w:uiPriority w:val="9"/>
    <w:semiHidden/>
    <w:unhideWhenUsed/>
    <w:qFormat/>
    <w:rsid w:val="00E03A92"/>
    <w:pPr>
      <w:outlineLvl w:val="2"/>
    </w:pPr>
    <w:rPr>
      <w:color w:val="1F4D78"/>
      <w:sz w:val="24"/>
      <w:szCs w:val="24"/>
    </w:rPr>
  </w:style>
  <w:style w:type="paragraph" w:styleId="Heading4">
    <w:name w:val="heading 4"/>
    <w:uiPriority w:val="9"/>
    <w:semiHidden/>
    <w:unhideWhenUsed/>
    <w:qFormat/>
    <w:rsid w:val="00E03A92"/>
    <w:pPr>
      <w:outlineLvl w:val="3"/>
    </w:pPr>
    <w:rPr>
      <w:i/>
      <w:iCs/>
      <w:color w:val="2E74B5"/>
    </w:rPr>
  </w:style>
  <w:style w:type="paragraph" w:styleId="Heading5">
    <w:name w:val="heading 5"/>
    <w:uiPriority w:val="9"/>
    <w:semiHidden/>
    <w:unhideWhenUsed/>
    <w:qFormat/>
    <w:rsid w:val="00E03A92"/>
    <w:pPr>
      <w:outlineLvl w:val="4"/>
    </w:pPr>
    <w:rPr>
      <w:color w:val="2E74B5"/>
    </w:rPr>
  </w:style>
  <w:style w:type="paragraph" w:styleId="Heading6">
    <w:name w:val="heading 6"/>
    <w:uiPriority w:val="9"/>
    <w:semiHidden/>
    <w:unhideWhenUsed/>
    <w:qFormat/>
    <w:rsid w:val="00E03A92"/>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E03A92"/>
    <w:rPr>
      <w:sz w:val="56"/>
      <w:szCs w:val="56"/>
    </w:rPr>
  </w:style>
  <w:style w:type="paragraph" w:customStyle="1" w:styleId="Strong1">
    <w:name w:val="Strong1"/>
    <w:qFormat/>
    <w:rsid w:val="00E03A92"/>
    <w:rPr>
      <w:b/>
      <w:bCs/>
    </w:rPr>
  </w:style>
  <w:style w:type="paragraph" w:styleId="ListParagraph">
    <w:name w:val="List Paragraph"/>
    <w:qFormat/>
    <w:rsid w:val="00E03A92"/>
  </w:style>
  <w:style w:type="character" w:styleId="Hyperlink">
    <w:name w:val="Hyperlink"/>
    <w:uiPriority w:val="99"/>
    <w:unhideWhenUsed/>
    <w:rsid w:val="00E03A92"/>
    <w:rPr>
      <w:color w:val="0563C1"/>
      <w:u w:val="single"/>
    </w:rPr>
  </w:style>
  <w:style w:type="character" w:styleId="FootnoteReference">
    <w:name w:val="footnote reference"/>
    <w:uiPriority w:val="99"/>
    <w:semiHidden/>
    <w:unhideWhenUsed/>
    <w:rsid w:val="00E03A92"/>
    <w:rPr>
      <w:vertAlign w:val="superscript"/>
    </w:rPr>
  </w:style>
  <w:style w:type="paragraph" w:styleId="FootnoteText">
    <w:name w:val="footnote text"/>
    <w:link w:val="FootnoteTextChar"/>
    <w:uiPriority w:val="99"/>
    <w:semiHidden/>
    <w:unhideWhenUsed/>
    <w:rsid w:val="00E03A92"/>
    <w:rPr>
      <w:sz w:val="20"/>
      <w:szCs w:val="20"/>
    </w:rPr>
  </w:style>
  <w:style w:type="character" w:customStyle="1" w:styleId="FootnoteTextChar">
    <w:name w:val="Footnote Text Char"/>
    <w:link w:val="FootnoteText"/>
    <w:uiPriority w:val="99"/>
    <w:semiHidden/>
    <w:unhideWhenUsed/>
    <w:rsid w:val="00E03A92"/>
    <w:rPr>
      <w:sz w:val="20"/>
      <w:szCs w:val="20"/>
    </w:rPr>
  </w:style>
  <w:style w:type="character" w:styleId="EndnoteReference">
    <w:name w:val="endnote reference"/>
    <w:uiPriority w:val="99"/>
    <w:semiHidden/>
    <w:unhideWhenUsed/>
    <w:rsid w:val="00E03A92"/>
    <w:rPr>
      <w:vertAlign w:val="superscript"/>
    </w:rPr>
  </w:style>
  <w:style w:type="paragraph" w:styleId="EndnoteText">
    <w:name w:val="endnote text"/>
    <w:link w:val="EndnoteTextChar"/>
    <w:uiPriority w:val="99"/>
    <w:semiHidden/>
    <w:unhideWhenUsed/>
    <w:rsid w:val="00E03A92"/>
    <w:rPr>
      <w:sz w:val="20"/>
      <w:szCs w:val="20"/>
    </w:rPr>
  </w:style>
  <w:style w:type="character" w:customStyle="1" w:styleId="EndnoteTextChar">
    <w:name w:val="Endnote Text Char"/>
    <w:link w:val="EndnoteText"/>
    <w:uiPriority w:val="99"/>
    <w:semiHidden/>
    <w:unhideWhenUsed/>
    <w:rsid w:val="00E03A92"/>
    <w:rPr>
      <w:sz w:val="20"/>
      <w:szCs w:val="20"/>
    </w:rPr>
  </w:style>
  <w:style w:type="paragraph" w:styleId="Header">
    <w:name w:val="header"/>
    <w:basedOn w:val="Normal"/>
    <w:link w:val="HeaderChar"/>
    <w:uiPriority w:val="99"/>
    <w:unhideWhenUsed/>
    <w:rsid w:val="00A60D64"/>
    <w:pPr>
      <w:tabs>
        <w:tab w:val="center" w:pos="4536"/>
        <w:tab w:val="right" w:pos="9072"/>
      </w:tabs>
    </w:pPr>
  </w:style>
  <w:style w:type="character" w:customStyle="1" w:styleId="HeaderChar">
    <w:name w:val="Header Char"/>
    <w:basedOn w:val="DefaultParagraphFont"/>
    <w:link w:val="Header"/>
    <w:uiPriority w:val="99"/>
    <w:rsid w:val="00A60D64"/>
  </w:style>
  <w:style w:type="paragraph" w:styleId="Footer">
    <w:name w:val="footer"/>
    <w:basedOn w:val="Normal"/>
    <w:link w:val="FooterChar"/>
    <w:uiPriority w:val="99"/>
    <w:unhideWhenUsed/>
    <w:rsid w:val="00A60D64"/>
    <w:pPr>
      <w:tabs>
        <w:tab w:val="center" w:pos="4536"/>
        <w:tab w:val="right" w:pos="9072"/>
      </w:tabs>
    </w:pPr>
  </w:style>
  <w:style w:type="character" w:customStyle="1" w:styleId="FooterChar">
    <w:name w:val="Footer Char"/>
    <w:basedOn w:val="DefaultParagraphFont"/>
    <w:link w:val="Footer"/>
    <w:uiPriority w:val="99"/>
    <w:rsid w:val="00A60D64"/>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primaria-nicolae-balcescu.ro" TargetMode="External"/><Relationship Id="rId1" Type="http://schemas.openxmlformats.org/officeDocument/2006/relationships/hyperlink" Target="mailto:registratura@primaria-nicolae-balcescu.ro"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cp:lastPrinted>2026-07-10T08:19:00Z</cp:lastPrinted>
  <dcterms:created xsi:type="dcterms:W3CDTF">2026-07-10T08:20:00Z</dcterms:created>
  <dcterms:modified xsi:type="dcterms:W3CDTF">2026-07-10T08:20:00Z</dcterms:modified>
</cp:coreProperties>
</file>