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36B11" w14:textId="2D5978BC" w:rsidR="006D3E7E" w:rsidRPr="006D3E7E" w:rsidRDefault="006D3E7E" w:rsidP="006D3E7E">
      <w:pPr>
        <w:widowControl/>
        <w:tabs>
          <w:tab w:val="left" w:pos="0"/>
        </w:tabs>
        <w:spacing w:line="276" w:lineRule="auto"/>
        <w:jc w:val="right"/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</w:pPr>
      <w:proofErr w:type="spellStart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Anexa</w:t>
      </w:r>
      <w:proofErr w:type="spellEnd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nr. 4</w:t>
      </w:r>
    </w:p>
    <w:p w14:paraId="02EFCF8E" w14:textId="77777777" w:rsidR="006D3E7E" w:rsidRPr="006D3E7E" w:rsidRDefault="006D3E7E" w:rsidP="006D3E7E">
      <w:pPr>
        <w:widowControl/>
        <w:tabs>
          <w:tab w:val="left" w:pos="0"/>
        </w:tabs>
        <w:spacing w:line="276" w:lineRule="auto"/>
        <w:jc w:val="right"/>
        <w:rPr>
          <w:rFonts w:eastAsia="Times New Roman" w:cs="Times New Roman"/>
          <w:color w:val="auto"/>
          <w:lang w:val="en-US" w:eastAsia="en-US" w:bidi="ar-SA"/>
          <w14:ligatures w14:val="none"/>
        </w:rPr>
      </w:pPr>
    </w:p>
    <w:p w14:paraId="40EB13EE" w14:textId="7EBC2389" w:rsidR="006D3E7E" w:rsidRDefault="006D3E7E" w:rsidP="006D3E7E">
      <w:pPr>
        <w:widowControl/>
        <w:spacing w:line="276" w:lineRule="auto"/>
        <w:jc w:val="center"/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</w:pPr>
      <w:proofErr w:type="spellStart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Tarife</w:t>
      </w:r>
      <w:proofErr w:type="spellEnd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ajustate</w:t>
      </w:r>
      <w:proofErr w:type="spellEnd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aferente</w:t>
      </w:r>
      <w:proofErr w:type="spellEnd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Contractului</w:t>
      </w:r>
      <w:proofErr w:type="spellEnd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nr. 9/21.12.2023 de </w:t>
      </w:r>
      <w:proofErr w:type="spellStart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delegare</w:t>
      </w:r>
      <w:proofErr w:type="spellEnd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a </w:t>
      </w:r>
      <w:proofErr w:type="spellStart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gestiunii</w:t>
      </w:r>
      <w:proofErr w:type="spellEnd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, </w:t>
      </w:r>
      <w:proofErr w:type="spellStart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prin</w:t>
      </w:r>
      <w:proofErr w:type="spellEnd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concesiune</w:t>
      </w:r>
      <w:proofErr w:type="spellEnd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, a </w:t>
      </w:r>
      <w:proofErr w:type="spellStart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serviciului</w:t>
      </w:r>
      <w:proofErr w:type="spellEnd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de </w:t>
      </w:r>
      <w:proofErr w:type="spellStart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salubrizare</w:t>
      </w:r>
      <w:proofErr w:type="spellEnd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pentru</w:t>
      </w:r>
      <w:proofErr w:type="spellEnd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activitățile</w:t>
      </w:r>
      <w:proofErr w:type="spellEnd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de </w:t>
      </w:r>
      <w:proofErr w:type="spellStart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sortare</w:t>
      </w:r>
      <w:proofErr w:type="spellEnd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și</w:t>
      </w:r>
      <w:proofErr w:type="spellEnd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tratare</w:t>
      </w:r>
      <w:proofErr w:type="spellEnd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mecano-biologică</w:t>
      </w:r>
      <w:proofErr w:type="spellEnd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a </w:t>
      </w:r>
      <w:proofErr w:type="spellStart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deșeurilor</w:t>
      </w:r>
      <w:proofErr w:type="spellEnd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municipale</w:t>
      </w:r>
      <w:proofErr w:type="spellEnd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din </w:t>
      </w:r>
      <w:proofErr w:type="spellStart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județul</w:t>
      </w:r>
      <w:proofErr w:type="spellEnd"/>
      <w:r w:rsidRPr="006D3E7E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Constanța – Lot 1 (Ovidiu)</w:t>
      </w:r>
    </w:p>
    <w:p w14:paraId="18B44104" w14:textId="77777777" w:rsidR="00665711" w:rsidRPr="006D3E7E" w:rsidRDefault="00665711" w:rsidP="006D3E7E">
      <w:pPr>
        <w:widowControl/>
        <w:spacing w:line="276" w:lineRule="auto"/>
        <w:jc w:val="center"/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</w:pPr>
    </w:p>
    <w:p w14:paraId="626DBC27" w14:textId="77777777" w:rsidR="00822E73" w:rsidRPr="006D3E7E" w:rsidRDefault="00822E73" w:rsidP="00822E73">
      <w:pPr>
        <w:widowControl/>
        <w:tabs>
          <w:tab w:val="left" w:pos="0"/>
        </w:tabs>
        <w:spacing w:line="276" w:lineRule="auto"/>
        <w:rPr>
          <w:rFonts w:eastAsia="Times New Roman" w:cs="Times New Roman"/>
          <w:color w:val="auto"/>
          <w:lang w:val="en-US" w:eastAsia="en-US" w:bidi="ar-SA"/>
          <w14:ligatures w14:val="none"/>
        </w:rPr>
      </w:pPr>
    </w:p>
    <w:tbl>
      <w:tblPr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558"/>
        <w:gridCol w:w="4488"/>
        <w:gridCol w:w="761"/>
        <w:gridCol w:w="1332"/>
        <w:gridCol w:w="1247"/>
        <w:gridCol w:w="1242"/>
      </w:tblGrid>
      <w:tr w:rsidR="00625B9B" w:rsidRPr="006D3E7E" w14:paraId="0AFC1CA5" w14:textId="77777777" w:rsidTr="006D3E7E">
        <w:trPr>
          <w:trHeight w:val="975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9035" w14:textId="77777777" w:rsidR="00625B9B" w:rsidRPr="006D3E7E" w:rsidRDefault="00625B9B" w:rsidP="00822E73">
            <w:pPr>
              <w:widowControl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</w:pPr>
            <w:r w:rsidRPr="006D3E7E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Nr </w:t>
            </w:r>
            <w:proofErr w:type="spellStart"/>
            <w:r w:rsidRPr="006D3E7E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crt</w:t>
            </w:r>
            <w:proofErr w:type="spellEnd"/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A2F19" w14:textId="77777777" w:rsidR="00625B9B" w:rsidRPr="006D3E7E" w:rsidRDefault="00625B9B" w:rsidP="00822E73">
            <w:pPr>
              <w:widowControl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</w:pPr>
            <w:proofErr w:type="spellStart"/>
            <w:r w:rsidRPr="006D3E7E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Denumire</w:t>
            </w:r>
            <w:proofErr w:type="spellEnd"/>
            <w:r w:rsidRPr="006D3E7E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activitate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DB702" w14:textId="77777777" w:rsidR="00625B9B" w:rsidRPr="006D3E7E" w:rsidRDefault="00625B9B" w:rsidP="00822E73">
            <w:pPr>
              <w:widowControl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</w:pPr>
            <w:r w:rsidRPr="006D3E7E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UM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BB44" w14:textId="46A78EBD" w:rsidR="00625B9B" w:rsidRPr="006D3E7E" w:rsidRDefault="00625B9B" w:rsidP="00822E73">
            <w:pPr>
              <w:widowControl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</w:pPr>
            <w:proofErr w:type="spellStart"/>
            <w:r w:rsidRPr="006D3E7E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Cant</w:t>
            </w:r>
            <w:r w:rsidR="006D3E7E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itate</w:t>
            </w:r>
            <w:proofErr w:type="spellEnd"/>
            <w:r w:rsidRPr="006D3E7E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/an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FCFD" w14:textId="449657A7" w:rsidR="00625B9B" w:rsidRPr="006D3E7E" w:rsidRDefault="00625B9B" w:rsidP="00822E73">
            <w:pPr>
              <w:widowControl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</w:pPr>
            <w:r w:rsidRPr="006D3E7E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Tarif </w:t>
            </w:r>
            <w:proofErr w:type="spellStart"/>
            <w:r w:rsidRPr="006D3E7E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unitar</w:t>
            </w:r>
            <w:proofErr w:type="spellEnd"/>
            <w:r w:rsidRPr="006D3E7E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b/>
                <w:bCs/>
                <w:color w:val="auto"/>
                <w:u w:val="single"/>
                <w:lang w:val="en-US" w:eastAsia="en-US" w:bidi="ar-SA"/>
                <w14:ligatures w14:val="none"/>
              </w:rPr>
              <w:t>ofertat</w:t>
            </w:r>
            <w:proofErr w:type="spellEnd"/>
            <w:r w:rsidRPr="006D3E7E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 lei/</w:t>
            </w:r>
            <w:proofErr w:type="spellStart"/>
            <w:r w:rsidRPr="006D3E7E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ton</w:t>
            </w:r>
            <w:r w:rsidR="006D3E7E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ă</w:t>
            </w:r>
            <w:proofErr w:type="spellEnd"/>
            <w:r w:rsidRPr="006D3E7E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fără</w:t>
            </w:r>
            <w:proofErr w:type="spellEnd"/>
            <w:r w:rsidRPr="006D3E7E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 TVA 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5538" w14:textId="584B3D31" w:rsidR="00625B9B" w:rsidRPr="006D3E7E" w:rsidRDefault="00625B9B" w:rsidP="00822E73">
            <w:pPr>
              <w:widowControl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</w:pPr>
            <w:r w:rsidRPr="006D3E7E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Tarif </w:t>
            </w:r>
            <w:proofErr w:type="spellStart"/>
            <w:r w:rsidRPr="006D3E7E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unitar</w:t>
            </w:r>
            <w:proofErr w:type="spellEnd"/>
            <w:r w:rsidRPr="006D3E7E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b/>
                <w:bCs/>
                <w:color w:val="auto"/>
                <w:u w:val="single"/>
                <w:lang w:val="en-US" w:eastAsia="en-US" w:bidi="ar-SA"/>
                <w14:ligatures w14:val="none"/>
              </w:rPr>
              <w:t>ajustat</w:t>
            </w:r>
            <w:proofErr w:type="spellEnd"/>
            <w:r w:rsidRPr="006D3E7E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 lei/</w:t>
            </w:r>
            <w:proofErr w:type="spellStart"/>
            <w:r w:rsidRPr="006D3E7E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ton</w:t>
            </w:r>
            <w:r w:rsidR="006D3E7E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ă</w:t>
            </w:r>
            <w:proofErr w:type="spellEnd"/>
            <w:r w:rsidRPr="006D3E7E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fără</w:t>
            </w:r>
            <w:proofErr w:type="spellEnd"/>
            <w:r w:rsidRPr="006D3E7E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 TVA </w:t>
            </w:r>
          </w:p>
        </w:tc>
      </w:tr>
      <w:tr w:rsidR="00625B9B" w:rsidRPr="006D3E7E" w14:paraId="684FA208" w14:textId="77777777" w:rsidTr="006D3E7E">
        <w:trPr>
          <w:trHeight w:val="795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3A928" w14:textId="77777777" w:rsidR="00625B9B" w:rsidRPr="006D3E7E" w:rsidRDefault="00625B9B" w:rsidP="00822E73">
            <w:pPr>
              <w:widowControl/>
              <w:spacing w:line="276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D1463" w14:textId="4D60DBD9" w:rsidR="00625B9B" w:rsidRPr="006D3E7E" w:rsidRDefault="00625B9B" w:rsidP="006D3E7E">
            <w:pPr>
              <w:widowControl/>
              <w:spacing w:line="276" w:lineRule="auto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Sortarea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deşeurilor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hârtie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, carton, metal, plastic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şi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sticlă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colectate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separat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din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deşeurile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municipale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în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staţii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sortare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,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inclusiv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transportul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reziduurilor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rezultate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din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sortare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la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depozitele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şi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/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sau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la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instalaţiile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valorificare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energetică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3DDED" w14:textId="77777777" w:rsidR="00625B9B" w:rsidRPr="006D3E7E" w:rsidRDefault="00625B9B" w:rsidP="00822E73">
            <w:pPr>
              <w:widowControl/>
              <w:spacing w:line="276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to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59D45" w14:textId="3C6B3E9E" w:rsidR="00625B9B" w:rsidRPr="006D3E7E" w:rsidRDefault="00822E73" w:rsidP="00822E73">
            <w:pPr>
              <w:widowControl/>
              <w:spacing w:line="276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4.324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478C" w14:textId="3030D37F" w:rsidR="00625B9B" w:rsidRPr="006D3E7E" w:rsidRDefault="00822E73" w:rsidP="00822E73">
            <w:pPr>
              <w:widowControl/>
              <w:spacing w:line="276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240,42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8736A" w14:textId="144CD84A" w:rsidR="00625B9B" w:rsidRPr="00665711" w:rsidRDefault="00822E73" w:rsidP="00822E73">
            <w:pPr>
              <w:widowControl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</w:pPr>
            <w:r w:rsidRPr="00665711">
              <w:rPr>
                <w:rFonts w:cs="Times New Roman"/>
                <w:b/>
                <w:bCs/>
              </w:rPr>
              <w:t>279,41</w:t>
            </w:r>
          </w:p>
        </w:tc>
      </w:tr>
      <w:tr w:rsidR="00625B9B" w:rsidRPr="006D3E7E" w14:paraId="1033A932" w14:textId="77777777" w:rsidTr="006D3E7E">
        <w:trPr>
          <w:trHeight w:val="1215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80A43" w14:textId="77777777" w:rsidR="00625B9B" w:rsidRPr="006D3E7E" w:rsidRDefault="00625B9B" w:rsidP="00822E73">
            <w:pPr>
              <w:widowControl/>
              <w:spacing w:line="276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E98C4" w14:textId="3D613D7B" w:rsidR="00625B9B" w:rsidRPr="006D3E7E" w:rsidRDefault="00625B9B" w:rsidP="006D3E7E">
            <w:pPr>
              <w:widowControl/>
              <w:spacing w:line="276" w:lineRule="auto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Tratarea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mecanobiologică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a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deşeurilor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reziduale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în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instalaţiile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tratare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mecanobiologice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sau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,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după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caz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,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în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instalaţiile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integrate de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tratare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,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inclusiv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transportul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deşeurilor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stabilizate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biologic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şi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al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deşeurilor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reziduale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care nu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mai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pot fi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valorificate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la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depozitele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şi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al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deşeurilor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reziduale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valorificabile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energetic la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instalaţiile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valorificare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energetică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4450" w14:textId="77777777" w:rsidR="00625B9B" w:rsidRPr="006D3E7E" w:rsidRDefault="00625B9B" w:rsidP="00822E73">
            <w:pPr>
              <w:widowControl/>
              <w:spacing w:line="276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to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471E1" w14:textId="4D4E3BF8" w:rsidR="00625B9B" w:rsidRPr="006D3E7E" w:rsidRDefault="00822E73" w:rsidP="00822E73">
            <w:pPr>
              <w:widowControl/>
              <w:spacing w:line="276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96.405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7CC9" w14:textId="7672D99B" w:rsidR="00625B9B" w:rsidRPr="006D3E7E" w:rsidRDefault="00822E73" w:rsidP="00822E73">
            <w:pPr>
              <w:widowControl/>
              <w:spacing w:line="276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59,66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CFFC3" w14:textId="7A9E7C63" w:rsidR="00625B9B" w:rsidRPr="00665711" w:rsidRDefault="00822E73" w:rsidP="00822E73">
            <w:pPr>
              <w:widowControl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</w:pPr>
            <w:r w:rsidRPr="00665711">
              <w:rPr>
                <w:rFonts w:cs="Times New Roman"/>
                <w:b/>
                <w:bCs/>
              </w:rPr>
              <w:t>69,34</w:t>
            </w:r>
          </w:p>
        </w:tc>
      </w:tr>
      <w:tr w:rsidR="00625B9B" w:rsidRPr="006D3E7E" w14:paraId="4DFA1808" w14:textId="77777777" w:rsidTr="006D3E7E">
        <w:trPr>
          <w:trHeight w:val="525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EA5DA" w14:textId="77777777" w:rsidR="00625B9B" w:rsidRPr="006D3E7E" w:rsidRDefault="00625B9B" w:rsidP="00822E73">
            <w:pPr>
              <w:widowControl/>
              <w:spacing w:line="276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D68FF" w14:textId="55B0A468" w:rsidR="00625B9B" w:rsidRPr="006D3E7E" w:rsidRDefault="00625B9B" w:rsidP="006D3E7E">
            <w:pPr>
              <w:widowControl/>
              <w:spacing w:line="276" w:lineRule="auto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Tratarea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aerobă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a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biodeşeurilor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colectate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separat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în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instalaţii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compostare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,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inclusiv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transportul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reziduurilor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la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depozitele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şi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/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sau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la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instalaţiile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valorificare</w:t>
            </w:r>
            <w:proofErr w:type="spellEnd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energetică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1DF72" w14:textId="77777777" w:rsidR="00625B9B" w:rsidRPr="006D3E7E" w:rsidRDefault="00625B9B" w:rsidP="00822E73">
            <w:pPr>
              <w:widowControl/>
              <w:spacing w:line="276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to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E5F6" w14:textId="17403408" w:rsidR="00625B9B" w:rsidRPr="006D3E7E" w:rsidRDefault="00822E73" w:rsidP="00822E73">
            <w:pPr>
              <w:widowControl/>
              <w:spacing w:line="276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2.299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40E7E" w14:textId="69B32332" w:rsidR="00625B9B" w:rsidRPr="006D3E7E" w:rsidRDefault="00625B9B" w:rsidP="00822E73">
            <w:pPr>
              <w:widowControl/>
              <w:spacing w:line="276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1</w:t>
            </w:r>
            <w:r w:rsidR="004D1C80"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1</w:t>
            </w:r>
            <w:r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8,</w:t>
            </w:r>
            <w:r w:rsidR="00822E73" w:rsidRPr="006D3E7E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31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CE8FD" w14:textId="7D9D2D4F" w:rsidR="00625B9B" w:rsidRPr="00665711" w:rsidRDefault="00625B9B" w:rsidP="00822E73">
            <w:pPr>
              <w:widowControl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</w:pPr>
            <w:r w:rsidRPr="00665711">
              <w:rPr>
                <w:rFonts w:cs="Times New Roman"/>
                <w:b/>
                <w:bCs/>
              </w:rPr>
              <w:t>1</w:t>
            </w:r>
            <w:r w:rsidR="004D1C80" w:rsidRPr="00665711">
              <w:rPr>
                <w:rFonts w:cs="Times New Roman"/>
                <w:b/>
                <w:bCs/>
              </w:rPr>
              <w:t>3</w:t>
            </w:r>
            <w:r w:rsidR="00822E73" w:rsidRPr="00665711">
              <w:rPr>
                <w:rFonts w:cs="Times New Roman"/>
                <w:b/>
                <w:bCs/>
              </w:rPr>
              <w:t>7,15</w:t>
            </w:r>
          </w:p>
        </w:tc>
      </w:tr>
    </w:tbl>
    <w:p w14:paraId="6EF62CF2" w14:textId="77777777" w:rsidR="00FC2E94" w:rsidRPr="006D3E7E" w:rsidRDefault="00FC2E94" w:rsidP="00822E73">
      <w:pPr>
        <w:widowControl/>
        <w:tabs>
          <w:tab w:val="left" w:pos="0"/>
        </w:tabs>
        <w:spacing w:line="276" w:lineRule="auto"/>
        <w:rPr>
          <w:rFonts w:eastAsia="Times New Roman" w:cs="Times New Roman"/>
          <w:color w:val="auto"/>
          <w:lang w:val="en-US" w:eastAsia="en-US" w:bidi="ar-SA"/>
          <w14:ligatures w14:val="none"/>
        </w:rPr>
      </w:pPr>
    </w:p>
    <w:p w14:paraId="59A0E357" w14:textId="77777777" w:rsidR="004D1C80" w:rsidRPr="006D3E7E" w:rsidRDefault="004D1C80" w:rsidP="00822E73">
      <w:pPr>
        <w:spacing w:after="240" w:line="276" w:lineRule="auto"/>
        <w:ind w:left="708"/>
        <w:jc w:val="center"/>
        <w:rPr>
          <w:rFonts w:cs="Times New Roman"/>
          <w:b/>
          <w:bCs/>
        </w:rPr>
      </w:pPr>
    </w:p>
    <w:p w14:paraId="528D51A4" w14:textId="77777777" w:rsidR="004D1C80" w:rsidRPr="006D3E7E" w:rsidRDefault="004D1C80" w:rsidP="00822E73">
      <w:pPr>
        <w:spacing w:after="240" w:line="276" w:lineRule="auto"/>
        <w:ind w:left="708"/>
        <w:jc w:val="center"/>
        <w:rPr>
          <w:rFonts w:cs="Times New Roman"/>
          <w:b/>
          <w:bCs/>
        </w:rPr>
      </w:pPr>
    </w:p>
    <w:sectPr w:rsidR="004D1C80" w:rsidRPr="006D3E7E" w:rsidSect="006D3E7E">
      <w:footerReference w:type="default" r:id="rId7"/>
      <w:pgSz w:w="11906" w:h="16838"/>
      <w:pgMar w:top="851" w:right="1134" w:bottom="851" w:left="1134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74A05" w14:textId="77777777" w:rsidR="00B57339" w:rsidRDefault="00B57339" w:rsidP="00926DA1">
      <w:pPr>
        <w:spacing w:line="240" w:lineRule="auto"/>
      </w:pPr>
      <w:r>
        <w:separator/>
      </w:r>
    </w:p>
  </w:endnote>
  <w:endnote w:type="continuationSeparator" w:id="0">
    <w:p w14:paraId="59EC7903" w14:textId="77777777" w:rsidR="00B57339" w:rsidRDefault="00B57339" w:rsidP="00926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AFAC5" w14:textId="175E9AFF" w:rsidR="004D1C80" w:rsidRDefault="004D1C80">
    <w:pPr>
      <w:pStyle w:val="Subsol"/>
      <w:jc w:val="center"/>
    </w:pPr>
  </w:p>
  <w:p w14:paraId="31724817" w14:textId="77777777" w:rsidR="004D1C80" w:rsidRDefault="004D1C8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145FE" w14:textId="77777777" w:rsidR="00B57339" w:rsidRDefault="00B57339" w:rsidP="00926DA1">
      <w:pPr>
        <w:spacing w:line="240" w:lineRule="auto"/>
      </w:pPr>
      <w:r>
        <w:separator/>
      </w:r>
    </w:p>
  </w:footnote>
  <w:footnote w:type="continuationSeparator" w:id="0">
    <w:p w14:paraId="60748297" w14:textId="77777777" w:rsidR="00B57339" w:rsidRDefault="00B57339" w:rsidP="00926D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72CD"/>
    <w:multiLevelType w:val="hybridMultilevel"/>
    <w:tmpl w:val="C166EFE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3F8A585D"/>
    <w:multiLevelType w:val="hybridMultilevel"/>
    <w:tmpl w:val="4F024F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D6"/>
    <w:multiLevelType w:val="multilevel"/>
    <w:tmpl w:val="0BCAC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4B6248"/>
    <w:multiLevelType w:val="hybridMultilevel"/>
    <w:tmpl w:val="399203AA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97D8C"/>
    <w:multiLevelType w:val="hybridMultilevel"/>
    <w:tmpl w:val="68645A8A"/>
    <w:lvl w:ilvl="0" w:tplc="6FD4AE26">
      <w:start w:val="1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A290716"/>
    <w:multiLevelType w:val="hybridMultilevel"/>
    <w:tmpl w:val="D9B48AAA"/>
    <w:lvl w:ilvl="0" w:tplc="11D810A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222959">
    <w:abstractNumId w:val="2"/>
  </w:num>
  <w:num w:numId="2" w16cid:durableId="1779640835">
    <w:abstractNumId w:val="1"/>
  </w:num>
  <w:num w:numId="3" w16cid:durableId="2040817102">
    <w:abstractNumId w:val="0"/>
  </w:num>
  <w:num w:numId="4" w16cid:durableId="1590044288">
    <w:abstractNumId w:val="4"/>
  </w:num>
  <w:num w:numId="5" w16cid:durableId="91166347">
    <w:abstractNumId w:val="3"/>
  </w:num>
  <w:num w:numId="6" w16cid:durableId="8881533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06"/>
    <w:rsid w:val="00051613"/>
    <w:rsid w:val="000A7482"/>
    <w:rsid w:val="001414A6"/>
    <w:rsid w:val="00153C03"/>
    <w:rsid w:val="001D79DC"/>
    <w:rsid w:val="00202453"/>
    <w:rsid w:val="00245811"/>
    <w:rsid w:val="00262FF1"/>
    <w:rsid w:val="00295E7A"/>
    <w:rsid w:val="002E79EB"/>
    <w:rsid w:val="003047FA"/>
    <w:rsid w:val="003103E6"/>
    <w:rsid w:val="00323A79"/>
    <w:rsid w:val="00323DC0"/>
    <w:rsid w:val="003365B5"/>
    <w:rsid w:val="00353D74"/>
    <w:rsid w:val="003A7277"/>
    <w:rsid w:val="003B6612"/>
    <w:rsid w:val="004948E5"/>
    <w:rsid w:val="004D1C80"/>
    <w:rsid w:val="005238D3"/>
    <w:rsid w:val="00574E28"/>
    <w:rsid w:val="005A4D0D"/>
    <w:rsid w:val="005D0F29"/>
    <w:rsid w:val="005D7D3A"/>
    <w:rsid w:val="00602384"/>
    <w:rsid w:val="00622934"/>
    <w:rsid w:val="00625B9B"/>
    <w:rsid w:val="00665711"/>
    <w:rsid w:val="006A30D4"/>
    <w:rsid w:val="006C27EF"/>
    <w:rsid w:val="006C4E6C"/>
    <w:rsid w:val="006D3E7E"/>
    <w:rsid w:val="0072210D"/>
    <w:rsid w:val="00723D91"/>
    <w:rsid w:val="007520A0"/>
    <w:rsid w:val="00761F8E"/>
    <w:rsid w:val="007A0F71"/>
    <w:rsid w:val="007A1B09"/>
    <w:rsid w:val="007E663A"/>
    <w:rsid w:val="007F178F"/>
    <w:rsid w:val="007F416E"/>
    <w:rsid w:val="00817F4B"/>
    <w:rsid w:val="00822E73"/>
    <w:rsid w:val="00854591"/>
    <w:rsid w:val="008C2217"/>
    <w:rsid w:val="008F6B2B"/>
    <w:rsid w:val="008F6DB5"/>
    <w:rsid w:val="00926DA1"/>
    <w:rsid w:val="00974A3A"/>
    <w:rsid w:val="00987B62"/>
    <w:rsid w:val="00996DF1"/>
    <w:rsid w:val="009E7915"/>
    <w:rsid w:val="00A0408B"/>
    <w:rsid w:val="00A437B1"/>
    <w:rsid w:val="00A645C4"/>
    <w:rsid w:val="00A8303D"/>
    <w:rsid w:val="00A87203"/>
    <w:rsid w:val="00AA6742"/>
    <w:rsid w:val="00AC01E5"/>
    <w:rsid w:val="00B24BBB"/>
    <w:rsid w:val="00B34DA9"/>
    <w:rsid w:val="00B57339"/>
    <w:rsid w:val="00B602D8"/>
    <w:rsid w:val="00BB0D9A"/>
    <w:rsid w:val="00BD5A1F"/>
    <w:rsid w:val="00BE4EB5"/>
    <w:rsid w:val="00C253B1"/>
    <w:rsid w:val="00C96653"/>
    <w:rsid w:val="00CA186D"/>
    <w:rsid w:val="00CA250B"/>
    <w:rsid w:val="00CD37E3"/>
    <w:rsid w:val="00CE005F"/>
    <w:rsid w:val="00D02C06"/>
    <w:rsid w:val="00D41FD6"/>
    <w:rsid w:val="00D73A71"/>
    <w:rsid w:val="00DC15DD"/>
    <w:rsid w:val="00DD7A18"/>
    <w:rsid w:val="00DF6A0E"/>
    <w:rsid w:val="00E51CBC"/>
    <w:rsid w:val="00E52337"/>
    <w:rsid w:val="00E56EA1"/>
    <w:rsid w:val="00E80C99"/>
    <w:rsid w:val="00E85A8C"/>
    <w:rsid w:val="00ED1C6C"/>
    <w:rsid w:val="00EF392A"/>
    <w:rsid w:val="00FB645D"/>
    <w:rsid w:val="00FC2E94"/>
    <w:rsid w:val="00FD7E34"/>
    <w:rsid w:val="00FE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B04B5"/>
  <w15:chartTrackingRefBased/>
  <w15:docId w15:val="{796E6FC6-5BE2-4CEC-8230-335B7A92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icrosoft Sans Serif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4"/>
    <w:pPr>
      <w:widowControl w:val="0"/>
      <w:spacing w:after="0" w:line="360" w:lineRule="auto"/>
      <w:jc w:val="both"/>
    </w:pPr>
    <w:rPr>
      <w:rFonts w:ascii="Times New Roman" w:hAnsi="Times New Roman" w:cs="Microsoft Sans Serif"/>
      <w:color w:val="000000"/>
      <w:kern w:val="0"/>
      <w:sz w:val="24"/>
      <w:szCs w:val="24"/>
      <w:lang w:eastAsia="ro-RO" w:bidi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D02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D02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02C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02C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02C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02C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02C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02C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02C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autoRedefine/>
    <w:qFormat/>
    <w:rsid w:val="00FD7E34"/>
    <w:pPr>
      <w:ind w:firstLine="567"/>
    </w:pPr>
    <w:rPr>
      <w:rFonts w:eastAsia="Times New Roman" w:cs="Times New Roman"/>
      <w:bCs/>
      <w:kern w:val="2"/>
    </w:rPr>
  </w:style>
  <w:style w:type="character" w:customStyle="1" w:styleId="CorptextCaracter">
    <w:name w:val="Corp text Caracter"/>
    <w:basedOn w:val="Fontdeparagrafimplicit"/>
    <w:link w:val="Corptext"/>
    <w:rsid w:val="00FD7E34"/>
    <w:rPr>
      <w:rFonts w:ascii="Times New Roman" w:eastAsia="Times New Roman" w:hAnsi="Times New Roman" w:cs="Times New Roman"/>
      <w:bCs/>
      <w:sz w:val="24"/>
      <w:szCs w:val="24"/>
      <w:lang w:bidi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D02C0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ro-RO" w:bidi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D02C0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o-RO" w:bidi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02C06"/>
    <w:rPr>
      <w:rFonts w:eastAsiaTheme="majorEastAsia" w:cstheme="majorBidi"/>
      <w:color w:val="2F5496" w:themeColor="accent1" w:themeShade="BF"/>
      <w:kern w:val="0"/>
      <w:sz w:val="28"/>
      <w:szCs w:val="28"/>
      <w:lang w:eastAsia="ro-RO" w:bidi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02C06"/>
    <w:rPr>
      <w:rFonts w:eastAsiaTheme="majorEastAsia" w:cstheme="majorBidi"/>
      <w:i/>
      <w:iCs/>
      <w:color w:val="2F5496" w:themeColor="accent1" w:themeShade="BF"/>
      <w:kern w:val="0"/>
      <w:sz w:val="24"/>
      <w:szCs w:val="24"/>
      <w:lang w:eastAsia="ro-RO" w:bidi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02C06"/>
    <w:rPr>
      <w:rFonts w:eastAsiaTheme="majorEastAsia" w:cstheme="majorBidi"/>
      <w:color w:val="2F5496" w:themeColor="accent1" w:themeShade="BF"/>
      <w:kern w:val="0"/>
      <w:sz w:val="24"/>
      <w:szCs w:val="24"/>
      <w:lang w:eastAsia="ro-RO" w:bidi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02C06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ro-RO" w:bidi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02C06"/>
    <w:rPr>
      <w:rFonts w:eastAsiaTheme="majorEastAsia" w:cstheme="majorBidi"/>
      <w:color w:val="595959" w:themeColor="text1" w:themeTint="A6"/>
      <w:kern w:val="0"/>
      <w:sz w:val="24"/>
      <w:szCs w:val="24"/>
      <w:lang w:eastAsia="ro-RO" w:bidi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02C06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ro-RO" w:bidi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02C06"/>
    <w:rPr>
      <w:rFonts w:eastAsiaTheme="majorEastAsia" w:cstheme="majorBidi"/>
      <w:color w:val="272727" w:themeColor="text1" w:themeTint="D8"/>
      <w:kern w:val="0"/>
      <w:sz w:val="24"/>
      <w:szCs w:val="24"/>
      <w:lang w:eastAsia="ro-RO" w:bidi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D02C0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02C06"/>
    <w:rPr>
      <w:rFonts w:asciiTheme="majorHAnsi" w:eastAsiaTheme="majorEastAsia" w:hAnsiTheme="majorHAnsi" w:cstheme="majorBidi"/>
      <w:spacing w:val="-10"/>
      <w:kern w:val="28"/>
      <w:sz w:val="56"/>
      <w:szCs w:val="56"/>
      <w:lang w:eastAsia="ro-RO" w:bidi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02C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02C06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ro-RO" w:bidi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D02C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02C06"/>
    <w:rPr>
      <w:rFonts w:ascii="Times New Roman" w:hAnsi="Times New Roman" w:cs="Microsoft Sans Serif"/>
      <w:i/>
      <w:iCs/>
      <w:color w:val="404040" w:themeColor="text1" w:themeTint="BF"/>
      <w:kern w:val="0"/>
      <w:sz w:val="24"/>
      <w:szCs w:val="24"/>
      <w:lang w:eastAsia="ro-RO" w:bidi="ro-RO"/>
    </w:rPr>
  </w:style>
  <w:style w:type="paragraph" w:styleId="Listparagraf">
    <w:name w:val="List Paragraph"/>
    <w:basedOn w:val="Normal"/>
    <w:uiPriority w:val="34"/>
    <w:qFormat/>
    <w:rsid w:val="00D02C0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02C0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02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02C06"/>
    <w:rPr>
      <w:rFonts w:ascii="Times New Roman" w:hAnsi="Times New Roman" w:cs="Microsoft Sans Serif"/>
      <w:i/>
      <w:iCs/>
      <w:color w:val="2F5496" w:themeColor="accent1" w:themeShade="BF"/>
      <w:kern w:val="0"/>
      <w:sz w:val="24"/>
      <w:szCs w:val="24"/>
      <w:lang w:eastAsia="ro-RO" w:bidi="ro-RO"/>
    </w:rPr>
  </w:style>
  <w:style w:type="character" w:styleId="Referireintens">
    <w:name w:val="Intense Reference"/>
    <w:basedOn w:val="Fontdeparagrafimplicit"/>
    <w:uiPriority w:val="32"/>
    <w:qFormat/>
    <w:rsid w:val="00D02C06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926DA1"/>
    <w:pPr>
      <w:tabs>
        <w:tab w:val="center" w:pos="4536"/>
        <w:tab w:val="right" w:pos="9072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26DA1"/>
    <w:rPr>
      <w:rFonts w:ascii="Times New Roman" w:hAnsi="Times New Roman" w:cs="Microsoft Sans Serif"/>
      <w:color w:val="000000"/>
      <w:kern w:val="0"/>
      <w:sz w:val="24"/>
      <w:szCs w:val="24"/>
      <w:lang w:eastAsia="ro-RO" w:bidi="ro-RO"/>
    </w:rPr>
  </w:style>
  <w:style w:type="paragraph" w:styleId="Subsol">
    <w:name w:val="footer"/>
    <w:basedOn w:val="Normal"/>
    <w:link w:val="SubsolCaracter"/>
    <w:uiPriority w:val="99"/>
    <w:unhideWhenUsed/>
    <w:rsid w:val="00926DA1"/>
    <w:pPr>
      <w:tabs>
        <w:tab w:val="center" w:pos="4536"/>
        <w:tab w:val="right" w:pos="9072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26DA1"/>
    <w:rPr>
      <w:rFonts w:ascii="Times New Roman" w:hAnsi="Times New Roman" w:cs="Microsoft Sans Serif"/>
      <w:color w:val="000000"/>
      <w:kern w:val="0"/>
      <w:sz w:val="24"/>
      <w:szCs w:val="24"/>
      <w:lang w:eastAsia="ro-RO" w:bidi="ro-RO"/>
    </w:rPr>
  </w:style>
  <w:style w:type="paragraph" w:styleId="Frspaiere">
    <w:name w:val="No Spacing"/>
    <w:uiPriority w:val="1"/>
    <w:qFormat/>
    <w:rsid w:val="001D79DC"/>
    <w:pPr>
      <w:widowControl w:val="0"/>
      <w:spacing w:after="0" w:line="240" w:lineRule="auto"/>
      <w:jc w:val="both"/>
    </w:pPr>
    <w:rPr>
      <w:rFonts w:ascii="Times New Roman" w:hAnsi="Times New Roman" w:cs="Microsoft Sans Serif"/>
      <w:color w:val="000000"/>
      <w:kern w:val="0"/>
      <w:sz w:val="24"/>
      <w:szCs w:val="24"/>
      <w:lang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gudula</dc:creator>
  <cp:keywords/>
  <dc:description/>
  <cp:lastModifiedBy>Primaria Negru Voda</cp:lastModifiedBy>
  <cp:revision>2</cp:revision>
  <dcterms:created xsi:type="dcterms:W3CDTF">2025-10-29T07:54:00Z</dcterms:created>
  <dcterms:modified xsi:type="dcterms:W3CDTF">2025-10-29T07:54:00Z</dcterms:modified>
</cp:coreProperties>
</file>