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6625" w14:textId="513B2784" w:rsidR="00825A96" w:rsidRPr="00825A96" w:rsidRDefault="00825A96" w:rsidP="00825A96">
      <w:pPr>
        <w:widowControl/>
        <w:tabs>
          <w:tab w:val="left" w:pos="0"/>
        </w:tabs>
        <w:spacing w:line="240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Anexa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3</w:t>
      </w:r>
    </w:p>
    <w:p w14:paraId="28E77DE9" w14:textId="77777777" w:rsidR="00825A96" w:rsidRPr="00825A96" w:rsidRDefault="00825A96" w:rsidP="00825A96">
      <w:pPr>
        <w:widowControl/>
        <w:tabs>
          <w:tab w:val="left" w:pos="0"/>
        </w:tabs>
        <w:spacing w:line="240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5BC366EC" w14:textId="45928487" w:rsidR="00825A96" w:rsidRDefault="00825A96" w:rsidP="00825A96">
      <w:pPr>
        <w:widowControl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Tarife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ajustate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aferente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Contractului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10/19.06.2024 de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delegare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gestiunii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prin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achiziție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publică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servicii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gram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</w:t>
      </w:r>
      <w:proofErr w:type="gram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activităților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de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sortare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,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tratare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mecano-biologică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și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depozitare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deșeurilor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municipale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din zona 2 de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colectare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a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județului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Constanța,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fără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punerea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la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dispoziție</w:t>
      </w:r>
      <w:proofErr w:type="spell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gram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</w:t>
      </w:r>
      <w:proofErr w:type="gramEnd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</w:t>
      </w:r>
      <w:proofErr w:type="spellStart"/>
      <w:r w:rsidRPr="00825A96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infrastructurii</w:t>
      </w:r>
      <w:proofErr w:type="spellEnd"/>
    </w:p>
    <w:p w14:paraId="59BDC04E" w14:textId="77777777" w:rsidR="008535F2" w:rsidRPr="00825A96" w:rsidRDefault="008535F2" w:rsidP="00825A96">
      <w:pPr>
        <w:widowControl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66E45CE1" w14:textId="28D76496" w:rsidR="00FC2E94" w:rsidRPr="00825A96" w:rsidRDefault="00FC2E94" w:rsidP="004D1C80">
      <w:pPr>
        <w:widowControl/>
        <w:tabs>
          <w:tab w:val="left" w:pos="0"/>
        </w:tabs>
        <w:spacing w:line="240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tbl>
      <w:tblPr>
        <w:tblW w:w="9592" w:type="dxa"/>
        <w:tblLayout w:type="fixed"/>
        <w:tblLook w:val="04A0" w:firstRow="1" w:lastRow="0" w:firstColumn="1" w:lastColumn="0" w:noHBand="0" w:noVBand="1"/>
      </w:tblPr>
      <w:tblGrid>
        <w:gridCol w:w="562"/>
        <w:gridCol w:w="4517"/>
        <w:gridCol w:w="728"/>
        <w:gridCol w:w="1244"/>
        <w:gridCol w:w="1273"/>
        <w:gridCol w:w="1268"/>
      </w:tblGrid>
      <w:tr w:rsidR="00625B9B" w:rsidRPr="00825A96" w14:paraId="0AFC1CA5" w14:textId="77777777" w:rsidTr="00825A96">
        <w:trPr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035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Nr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crt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F19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Denumire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activitate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B702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UM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B44" w14:textId="5A525B76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Cant</w:t>
            </w:r>
            <w:r w:rsidR="00825A96"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itate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/an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CFD" w14:textId="54DE06EC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ofertat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538" w14:textId="2A71EB80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ajustat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825A96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</w:tr>
      <w:tr w:rsidR="00625B9B" w:rsidRPr="00825A96" w14:paraId="684FA208" w14:textId="77777777" w:rsidTr="00825A96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A928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1463" w14:textId="4D60DBD9" w:rsidR="00625B9B" w:rsidRPr="00825A96" w:rsidRDefault="00625B9B" w:rsidP="00825A96">
            <w:pPr>
              <w:widowControl/>
              <w:spacing w:line="240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Sortarea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hârtie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carton, metal, plastic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sticlă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staţii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sortare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DDED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9D45" w14:textId="3E5E74C6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2.793,60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78C" w14:textId="5ACBB69D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659,06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736A" w14:textId="0A84FB4A" w:rsidR="00625B9B" w:rsidRPr="00360CF8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360CF8">
              <w:rPr>
                <w:rFonts w:cs="Times New Roman"/>
                <w:b/>
                <w:bCs/>
              </w:rPr>
              <w:t>72</w:t>
            </w:r>
            <w:r w:rsidR="00EF392A" w:rsidRPr="00360CF8">
              <w:rPr>
                <w:rFonts w:cs="Times New Roman"/>
                <w:b/>
                <w:bCs/>
              </w:rPr>
              <w:t>6,66</w:t>
            </w:r>
          </w:p>
        </w:tc>
      </w:tr>
      <w:tr w:rsidR="00625B9B" w:rsidRPr="00825A96" w14:paraId="1033A932" w14:textId="77777777" w:rsidTr="00825A96">
        <w:trPr>
          <w:trHeight w:val="12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0A43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98C4" w14:textId="3D613D7B" w:rsidR="00625B9B" w:rsidRPr="00825A96" w:rsidRDefault="00625B9B" w:rsidP="00825A96">
            <w:pPr>
              <w:widowControl/>
              <w:spacing w:line="240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mecanobiologice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după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caz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integrate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stabilizate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biologic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mai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pot fi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al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valorificabile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energetic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4450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71E1" w14:textId="2E43771C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11.630,20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7CC9" w14:textId="49CC16FF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141,03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FFC3" w14:textId="4EC21602" w:rsidR="00625B9B" w:rsidRPr="00360CF8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360CF8">
              <w:rPr>
                <w:rFonts w:cs="Times New Roman"/>
                <w:b/>
                <w:bCs/>
              </w:rPr>
              <w:t>1</w:t>
            </w:r>
            <w:r w:rsidR="004D1C80" w:rsidRPr="00360CF8">
              <w:rPr>
                <w:rFonts w:cs="Times New Roman"/>
                <w:b/>
                <w:bCs/>
              </w:rPr>
              <w:t>55,</w:t>
            </w:r>
            <w:r w:rsidR="00EF392A" w:rsidRPr="00360CF8">
              <w:rPr>
                <w:rFonts w:cs="Times New Roman"/>
                <w:b/>
                <w:bCs/>
              </w:rPr>
              <w:t>78</w:t>
            </w:r>
          </w:p>
        </w:tc>
      </w:tr>
      <w:tr w:rsidR="00625B9B" w:rsidRPr="00825A96" w14:paraId="4DFA1808" w14:textId="77777777" w:rsidTr="00825A96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A5DA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68FF" w14:textId="55B0A468" w:rsidR="00625B9B" w:rsidRPr="00825A96" w:rsidRDefault="00625B9B" w:rsidP="00825A96">
            <w:pPr>
              <w:widowControl/>
              <w:spacing w:line="240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Tratarea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aerobă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biodeşeurilor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colectate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separat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în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compostare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inclusiv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transportul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energetică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DF72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5F6" w14:textId="728737EC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1.941,40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0E7E" w14:textId="33B21200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  <w:r w:rsidR="004D1C80"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8,</w:t>
            </w:r>
            <w:r w:rsidR="004D1C80"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E8FD" w14:textId="1CC09D6C" w:rsidR="00625B9B" w:rsidRPr="00360CF8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360CF8">
              <w:rPr>
                <w:rFonts w:cs="Times New Roman"/>
                <w:b/>
                <w:bCs/>
              </w:rPr>
              <w:t>1</w:t>
            </w:r>
            <w:r w:rsidR="004D1C80" w:rsidRPr="00360CF8">
              <w:rPr>
                <w:rFonts w:cs="Times New Roman"/>
                <w:b/>
                <w:bCs/>
              </w:rPr>
              <w:t>3</w:t>
            </w:r>
            <w:r w:rsidRPr="00360CF8">
              <w:rPr>
                <w:rFonts w:cs="Times New Roman"/>
                <w:b/>
                <w:bCs/>
              </w:rPr>
              <w:t>0,</w:t>
            </w:r>
            <w:r w:rsidR="00EF392A" w:rsidRPr="00360CF8">
              <w:rPr>
                <w:rFonts w:cs="Times New Roman"/>
                <w:b/>
                <w:bCs/>
              </w:rPr>
              <w:t>43</w:t>
            </w:r>
          </w:p>
        </w:tc>
      </w:tr>
      <w:tr w:rsidR="00625B9B" w:rsidRPr="00825A96" w14:paraId="5F562C5A" w14:textId="77777777" w:rsidTr="00825A96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BAEF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1600" w14:textId="43E0C670" w:rsidR="00625B9B" w:rsidRPr="00825A96" w:rsidRDefault="00625B9B" w:rsidP="00825A96">
            <w:pPr>
              <w:widowControl/>
              <w:spacing w:line="240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Eliminarea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prin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stradale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pământ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pietre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pe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căile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publice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precum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pot fi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activităţi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reamenajare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reabilitare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interioară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exterioară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locuinţelor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nepericuloase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DA29" w14:textId="77777777" w:rsidR="00625B9B" w:rsidRPr="00825A96" w:rsidRDefault="00625B9B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40C4" w14:textId="47DBBF1B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8.049,60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25F" w14:textId="263FCAA0" w:rsidR="00625B9B" w:rsidRPr="00825A96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825A96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89,13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00F5" w14:textId="5BE0AC4B" w:rsidR="00625B9B" w:rsidRPr="00360CF8" w:rsidRDefault="004D1C80" w:rsidP="004D1C80">
            <w:pPr>
              <w:widowControl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360CF8">
              <w:rPr>
                <w:rFonts w:cs="Times New Roman"/>
                <w:b/>
                <w:bCs/>
              </w:rPr>
              <w:t>98,</w:t>
            </w:r>
            <w:r w:rsidR="00EF392A" w:rsidRPr="00360CF8">
              <w:rPr>
                <w:rFonts w:cs="Times New Roman"/>
                <w:b/>
                <w:bCs/>
              </w:rPr>
              <w:t>45</w:t>
            </w:r>
          </w:p>
        </w:tc>
      </w:tr>
    </w:tbl>
    <w:p w14:paraId="6EF62CF2" w14:textId="77777777" w:rsidR="00FC2E94" w:rsidRPr="00825A96" w:rsidRDefault="00FC2E94" w:rsidP="004D1C80">
      <w:pPr>
        <w:widowControl/>
        <w:tabs>
          <w:tab w:val="left" w:pos="0"/>
        </w:tabs>
        <w:spacing w:line="240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p w14:paraId="59A0E357" w14:textId="77777777" w:rsidR="004D1C80" w:rsidRPr="00825A96" w:rsidRDefault="004D1C80" w:rsidP="004D1C80">
      <w:pPr>
        <w:spacing w:after="240" w:line="240" w:lineRule="auto"/>
        <w:ind w:left="708"/>
        <w:jc w:val="center"/>
        <w:rPr>
          <w:rFonts w:cs="Times New Roman"/>
          <w:b/>
          <w:bCs/>
        </w:rPr>
      </w:pPr>
    </w:p>
    <w:sectPr w:rsidR="004D1C80" w:rsidRPr="00825A96" w:rsidSect="004D1C80">
      <w:pgSz w:w="11906" w:h="16838"/>
      <w:pgMar w:top="1008" w:right="1008" w:bottom="720" w:left="129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6494" w14:textId="77777777" w:rsidR="006E7361" w:rsidRDefault="006E7361" w:rsidP="00926DA1">
      <w:pPr>
        <w:spacing w:line="240" w:lineRule="auto"/>
      </w:pPr>
      <w:r>
        <w:separator/>
      </w:r>
    </w:p>
  </w:endnote>
  <w:endnote w:type="continuationSeparator" w:id="0">
    <w:p w14:paraId="3A58E943" w14:textId="77777777" w:rsidR="006E7361" w:rsidRDefault="006E7361" w:rsidP="0092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563F" w14:textId="77777777" w:rsidR="006E7361" w:rsidRDefault="006E7361" w:rsidP="00926DA1">
      <w:pPr>
        <w:spacing w:line="240" w:lineRule="auto"/>
      </w:pPr>
      <w:r>
        <w:separator/>
      </w:r>
    </w:p>
  </w:footnote>
  <w:footnote w:type="continuationSeparator" w:id="0">
    <w:p w14:paraId="7EF34E01" w14:textId="77777777" w:rsidR="006E7361" w:rsidRDefault="006E7361" w:rsidP="0092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CD"/>
    <w:multiLevelType w:val="hybridMultilevel"/>
    <w:tmpl w:val="C166EF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F8A585D"/>
    <w:multiLevelType w:val="hybridMultilevel"/>
    <w:tmpl w:val="4F024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D6"/>
    <w:multiLevelType w:val="multilevel"/>
    <w:tmpl w:val="0BC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B6248"/>
    <w:multiLevelType w:val="hybridMultilevel"/>
    <w:tmpl w:val="399203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D8C"/>
    <w:multiLevelType w:val="hybridMultilevel"/>
    <w:tmpl w:val="68645A8A"/>
    <w:lvl w:ilvl="0" w:tplc="6FD4AE2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290716"/>
    <w:multiLevelType w:val="hybridMultilevel"/>
    <w:tmpl w:val="D9B48AAA"/>
    <w:lvl w:ilvl="0" w:tplc="11D810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13735">
    <w:abstractNumId w:val="2"/>
  </w:num>
  <w:num w:numId="2" w16cid:durableId="162596374">
    <w:abstractNumId w:val="1"/>
  </w:num>
  <w:num w:numId="3" w16cid:durableId="1705251908">
    <w:abstractNumId w:val="0"/>
  </w:num>
  <w:num w:numId="4" w16cid:durableId="558371143">
    <w:abstractNumId w:val="4"/>
  </w:num>
  <w:num w:numId="5" w16cid:durableId="616718160">
    <w:abstractNumId w:val="3"/>
  </w:num>
  <w:num w:numId="6" w16cid:durableId="1936665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06"/>
    <w:rsid w:val="00051613"/>
    <w:rsid w:val="000A1CDC"/>
    <w:rsid w:val="000A7482"/>
    <w:rsid w:val="001414A6"/>
    <w:rsid w:val="001D79DC"/>
    <w:rsid w:val="00202453"/>
    <w:rsid w:val="00245811"/>
    <w:rsid w:val="00262FF1"/>
    <w:rsid w:val="00295E7A"/>
    <w:rsid w:val="002E79EB"/>
    <w:rsid w:val="003047FA"/>
    <w:rsid w:val="003103E6"/>
    <w:rsid w:val="00323A79"/>
    <w:rsid w:val="00323DC0"/>
    <w:rsid w:val="003365B5"/>
    <w:rsid w:val="00353D74"/>
    <w:rsid w:val="00360CF8"/>
    <w:rsid w:val="003B6612"/>
    <w:rsid w:val="004948E5"/>
    <w:rsid w:val="004D1C80"/>
    <w:rsid w:val="005238D3"/>
    <w:rsid w:val="0056773A"/>
    <w:rsid w:val="00574E28"/>
    <w:rsid w:val="005A4D0D"/>
    <w:rsid w:val="005D0F29"/>
    <w:rsid w:val="00602384"/>
    <w:rsid w:val="00622934"/>
    <w:rsid w:val="00625B9B"/>
    <w:rsid w:val="00677C35"/>
    <w:rsid w:val="006A30D4"/>
    <w:rsid w:val="006C27EF"/>
    <w:rsid w:val="006C4E6C"/>
    <w:rsid w:val="006C70FB"/>
    <w:rsid w:val="006E7361"/>
    <w:rsid w:val="0072210D"/>
    <w:rsid w:val="00723D91"/>
    <w:rsid w:val="007520A0"/>
    <w:rsid w:val="00761F8E"/>
    <w:rsid w:val="007A1B09"/>
    <w:rsid w:val="007E663A"/>
    <w:rsid w:val="007F178F"/>
    <w:rsid w:val="007F416E"/>
    <w:rsid w:val="008052B3"/>
    <w:rsid w:val="00817F4B"/>
    <w:rsid w:val="00825A96"/>
    <w:rsid w:val="008535F2"/>
    <w:rsid w:val="00854591"/>
    <w:rsid w:val="008C2217"/>
    <w:rsid w:val="008F6B2B"/>
    <w:rsid w:val="008F6DB5"/>
    <w:rsid w:val="00926DA1"/>
    <w:rsid w:val="00974A3A"/>
    <w:rsid w:val="00996DF1"/>
    <w:rsid w:val="00A0408B"/>
    <w:rsid w:val="00A437B1"/>
    <w:rsid w:val="00A645C4"/>
    <w:rsid w:val="00A8303D"/>
    <w:rsid w:val="00A87203"/>
    <w:rsid w:val="00AA6742"/>
    <w:rsid w:val="00AB29A8"/>
    <w:rsid w:val="00AC01E5"/>
    <w:rsid w:val="00B24BBB"/>
    <w:rsid w:val="00B34DA9"/>
    <w:rsid w:val="00BB0D9A"/>
    <w:rsid w:val="00BD5A1F"/>
    <w:rsid w:val="00BE4EB5"/>
    <w:rsid w:val="00C253B1"/>
    <w:rsid w:val="00C96653"/>
    <w:rsid w:val="00CA186D"/>
    <w:rsid w:val="00CA250B"/>
    <w:rsid w:val="00CE005F"/>
    <w:rsid w:val="00D02C06"/>
    <w:rsid w:val="00D73A71"/>
    <w:rsid w:val="00DC15DD"/>
    <w:rsid w:val="00DD7A18"/>
    <w:rsid w:val="00DF6A0E"/>
    <w:rsid w:val="00E51CBC"/>
    <w:rsid w:val="00E52337"/>
    <w:rsid w:val="00E56EA1"/>
    <w:rsid w:val="00E80C99"/>
    <w:rsid w:val="00E85A8C"/>
    <w:rsid w:val="00ED1C6C"/>
    <w:rsid w:val="00EF392A"/>
    <w:rsid w:val="00EF7B63"/>
    <w:rsid w:val="00FB645D"/>
    <w:rsid w:val="00FC2E94"/>
    <w:rsid w:val="00FD7E3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04B5"/>
  <w15:chartTrackingRefBased/>
  <w15:docId w15:val="{796E6FC6-5BE2-4CEC-8230-335B7A9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4"/>
    <w:pPr>
      <w:widowControl w:val="0"/>
      <w:spacing w:after="0" w:line="36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C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C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C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C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autoRedefine/>
    <w:qFormat/>
    <w:rsid w:val="00FD7E34"/>
    <w:pPr>
      <w:ind w:firstLine="567"/>
    </w:pPr>
    <w:rPr>
      <w:rFonts w:eastAsia="Times New Roman" w:cs="Times New Roman"/>
      <w:bCs/>
      <w:kern w:val="2"/>
    </w:rPr>
  </w:style>
  <w:style w:type="character" w:customStyle="1" w:styleId="CorptextCaracter">
    <w:name w:val="Corp text Caracter"/>
    <w:basedOn w:val="Fontdeparagrafimplicit"/>
    <w:link w:val="Corptext"/>
    <w:rsid w:val="00FD7E34"/>
    <w:rPr>
      <w:rFonts w:ascii="Times New Roman" w:eastAsia="Times New Roman" w:hAnsi="Times New Roman" w:cs="Times New Roman"/>
      <w:bCs/>
      <w:sz w:val="24"/>
      <w:szCs w:val="24"/>
      <w:lang w:bidi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8"/>
      <w:szCs w:val="28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C06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C0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C06"/>
    <w:rPr>
      <w:rFonts w:eastAsiaTheme="majorEastAsia" w:cstheme="majorBidi"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C0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C06"/>
    <w:rPr>
      <w:rFonts w:eastAsiaTheme="majorEastAsia" w:cstheme="majorBidi"/>
      <w:color w:val="272727" w:themeColor="text1" w:themeTint="D8"/>
      <w:kern w:val="0"/>
      <w:sz w:val="24"/>
      <w:szCs w:val="24"/>
      <w:lang w:eastAsia="ro-RO" w:bidi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2C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2C06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 w:bidi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C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C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o-RO" w:bidi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2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C06"/>
    <w:rPr>
      <w:rFonts w:ascii="Times New Roman" w:hAnsi="Times New Roman" w:cs="Microsoft Sans Serif"/>
      <w:i/>
      <w:iCs/>
      <w:color w:val="404040" w:themeColor="text1" w:themeTint="BF"/>
      <w:kern w:val="0"/>
      <w:sz w:val="24"/>
      <w:szCs w:val="24"/>
      <w:lang w:eastAsia="ro-RO" w:bidi="ro-RO"/>
    </w:rPr>
  </w:style>
  <w:style w:type="paragraph" w:styleId="Listparagraf">
    <w:name w:val="List Paragraph"/>
    <w:basedOn w:val="Normal"/>
    <w:uiPriority w:val="34"/>
    <w:qFormat/>
    <w:rsid w:val="00D02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2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C06"/>
    <w:rPr>
      <w:rFonts w:ascii="Times New Roman" w:hAnsi="Times New Roman" w:cs="Microsoft Sans Serif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styleId="Referireintens">
    <w:name w:val="Intense Reference"/>
    <w:basedOn w:val="Fontdeparagrafimplicit"/>
    <w:uiPriority w:val="32"/>
    <w:qFormat/>
    <w:rsid w:val="00D02C0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1D79DC"/>
    <w:pPr>
      <w:widowControl w:val="0"/>
      <w:spacing w:after="0" w:line="24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gudula</dc:creator>
  <cp:keywords/>
  <dc:description/>
  <cp:lastModifiedBy>Primaria Negru Voda</cp:lastModifiedBy>
  <cp:revision>2</cp:revision>
  <dcterms:created xsi:type="dcterms:W3CDTF">2025-10-29T07:53:00Z</dcterms:created>
  <dcterms:modified xsi:type="dcterms:W3CDTF">2025-10-29T07:53:00Z</dcterms:modified>
</cp:coreProperties>
</file>