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B34" w14:textId="77777777" w:rsidR="00513FC9" w:rsidRPr="00381655" w:rsidRDefault="00513FC9" w:rsidP="00381655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DABBEE" w14:textId="77777777" w:rsidR="00513FC9" w:rsidRPr="00381655" w:rsidRDefault="00513FC9" w:rsidP="00381655">
      <w:pPr>
        <w:tabs>
          <w:tab w:val="left" w:pos="124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0E36C7A9" w14:textId="77777777" w:rsidR="00152752" w:rsidRDefault="00513FC9" w:rsidP="00381655">
      <w:pPr>
        <w:tabs>
          <w:tab w:val="left" w:pos="124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</w:pPr>
      <w:r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Planul anual de acțiune privind serviciile sociale administrate şi finanţate</w:t>
      </w:r>
    </w:p>
    <w:p w14:paraId="73687F83" w14:textId="47F721F7" w:rsidR="00513FC9" w:rsidRPr="00381655" w:rsidRDefault="00513FC9" w:rsidP="00381655">
      <w:pPr>
        <w:tabs>
          <w:tab w:val="left" w:pos="124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</w:pPr>
      <w:r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din bugetul </w:t>
      </w:r>
      <w:r w:rsid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C</w:t>
      </w:r>
      <w:r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omunei</w:t>
      </w:r>
      <w:r w:rsidR="001E12F3"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  <w:r w:rsidR="00BC2FE1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Moldoveni</w:t>
      </w:r>
      <w:r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pe</w:t>
      </w:r>
      <w:r w:rsidR="00152752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ntru</w:t>
      </w:r>
      <w:r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anul 20</w:t>
      </w:r>
      <w:r w:rsidR="001E12F3" w:rsidRPr="00381655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2</w:t>
      </w:r>
      <w:r w:rsidR="009A57C3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6</w:t>
      </w:r>
    </w:p>
    <w:p w14:paraId="0AF0AD91" w14:textId="77777777" w:rsidR="00513FC9" w:rsidRPr="00381655" w:rsidRDefault="00513FC9" w:rsidP="00381655">
      <w:pPr>
        <w:tabs>
          <w:tab w:val="left" w:pos="124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F5C9506" w14:textId="0E6CE3EE" w:rsidR="00600FE1" w:rsidRDefault="00513FC9" w:rsidP="00381655">
      <w:pPr>
        <w:tabs>
          <w:tab w:val="left" w:pos="124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14:paraId="7756DD07" w14:textId="77777777" w:rsidR="00381655" w:rsidRPr="008F7929" w:rsidRDefault="00381655" w:rsidP="00381655">
      <w:pPr>
        <w:tabs>
          <w:tab w:val="left" w:pos="124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CDF699" w14:textId="5A8468A7" w:rsidR="00DB73E4" w:rsidRPr="00381655" w:rsidRDefault="00165041" w:rsidP="00381655">
      <w:pPr>
        <w:pStyle w:val="Default"/>
        <w:jc w:val="both"/>
        <w:rPr>
          <w:bCs/>
          <w:lang w:val="ro-RO"/>
        </w:rPr>
      </w:pPr>
      <w:r w:rsidRPr="008F7929">
        <w:rPr>
          <w:b/>
          <w:lang w:val="ro-RO"/>
        </w:rPr>
        <w:t>1</w:t>
      </w:r>
      <w:r w:rsidR="00600FE1" w:rsidRPr="008F7929">
        <w:rPr>
          <w:b/>
          <w:lang w:val="ro-RO"/>
        </w:rPr>
        <w:t xml:space="preserve">) Strategia locală de dezvoltare a serviciilor sociale la nivelul </w:t>
      </w:r>
      <w:r w:rsidR="00152752">
        <w:rPr>
          <w:b/>
          <w:lang w:val="ro-RO"/>
        </w:rPr>
        <w:t>C</w:t>
      </w:r>
      <w:r w:rsidR="00600FE1" w:rsidRPr="008F7929">
        <w:rPr>
          <w:b/>
          <w:lang w:val="ro-RO"/>
        </w:rPr>
        <w:t xml:space="preserve">omunei </w:t>
      </w:r>
      <w:r w:rsidR="00BC2FE1">
        <w:rPr>
          <w:b/>
          <w:lang w:val="ro-RO"/>
        </w:rPr>
        <w:t>Moldoveni</w:t>
      </w:r>
      <w:r w:rsidR="0025583F" w:rsidRPr="008F7929">
        <w:rPr>
          <w:b/>
          <w:lang w:val="ro-RO"/>
        </w:rPr>
        <w:t xml:space="preserve"> pentru perioada 2025-2030,</w:t>
      </w:r>
      <w:r w:rsidR="005734DC" w:rsidRPr="008F7929">
        <w:rPr>
          <w:b/>
          <w:lang w:val="ro-RO"/>
        </w:rPr>
        <w:t xml:space="preserve"> </w:t>
      </w:r>
      <w:r w:rsidR="00D77E42" w:rsidRPr="00381655">
        <w:rPr>
          <w:bCs/>
          <w:lang w:val="ro-RO"/>
        </w:rPr>
        <w:t>aprobată prin Hotărârea</w:t>
      </w:r>
      <w:r w:rsidR="005734DC" w:rsidRPr="00381655">
        <w:rPr>
          <w:bCs/>
          <w:lang w:val="ro-RO"/>
        </w:rPr>
        <w:t xml:space="preserve"> </w:t>
      </w:r>
      <w:r w:rsidR="00D77E42" w:rsidRPr="00381655">
        <w:rPr>
          <w:bCs/>
          <w:lang w:val="ro-RO"/>
        </w:rPr>
        <w:t>C</w:t>
      </w:r>
      <w:r w:rsidR="005734DC" w:rsidRPr="00381655">
        <w:rPr>
          <w:bCs/>
          <w:lang w:val="ro-RO"/>
        </w:rPr>
        <w:t>ons</w:t>
      </w:r>
      <w:r w:rsidR="00D77E42" w:rsidRPr="00381655">
        <w:rPr>
          <w:bCs/>
          <w:lang w:val="ro-RO"/>
        </w:rPr>
        <w:t>iliului L</w:t>
      </w:r>
      <w:r w:rsidR="005734DC" w:rsidRPr="00381655">
        <w:rPr>
          <w:bCs/>
          <w:lang w:val="ro-RO"/>
        </w:rPr>
        <w:t>ocal nr</w:t>
      </w:r>
      <w:r w:rsidR="00D77E42" w:rsidRPr="00381655">
        <w:rPr>
          <w:bCs/>
          <w:lang w:val="ro-RO"/>
        </w:rPr>
        <w:t xml:space="preserve">. </w:t>
      </w:r>
      <w:r w:rsidR="00BC2FE1">
        <w:rPr>
          <w:bCs/>
          <w:lang w:val="ro-RO"/>
        </w:rPr>
        <w:t>23</w:t>
      </w:r>
      <w:r w:rsidR="00D77E42" w:rsidRPr="00381655">
        <w:rPr>
          <w:bCs/>
          <w:lang w:val="ro-RO"/>
        </w:rPr>
        <w:t xml:space="preserve"> din 2</w:t>
      </w:r>
      <w:r w:rsidR="00BC2FE1">
        <w:rPr>
          <w:bCs/>
          <w:lang w:val="ro-RO"/>
        </w:rPr>
        <w:t>0</w:t>
      </w:r>
      <w:r w:rsidR="00D77E42" w:rsidRPr="00381655">
        <w:rPr>
          <w:bCs/>
          <w:lang w:val="ro-RO"/>
        </w:rPr>
        <w:t>.03.2025</w:t>
      </w:r>
      <w:r w:rsidR="005F4810">
        <w:rPr>
          <w:bCs/>
          <w:lang w:val="ro-RO"/>
        </w:rPr>
        <w:t>, respectiv</w:t>
      </w:r>
      <w:r w:rsidR="0025583F" w:rsidRPr="00381655">
        <w:rPr>
          <w:bCs/>
          <w:lang w:val="ro-RO"/>
        </w:rPr>
        <w:t xml:space="preserve"> următoarele obiective</w:t>
      </w:r>
      <w:r w:rsidR="00862B10" w:rsidRPr="00381655">
        <w:rPr>
          <w:bCs/>
          <w:lang w:val="ro-RO"/>
        </w:rPr>
        <w:t>:</w:t>
      </w:r>
    </w:p>
    <w:p w14:paraId="0A3E2D23" w14:textId="51F1FB02" w:rsidR="00B1093E" w:rsidRPr="008F7929" w:rsidRDefault="00B1093E" w:rsidP="00381655">
      <w:pPr>
        <w:jc w:val="both"/>
        <w:rPr>
          <w:rFonts w:ascii="Times New Roman" w:hAnsi="Times New Roman" w:cs="Times New Roman"/>
          <w:sz w:val="24"/>
          <w:lang w:val="ro-RO"/>
        </w:rPr>
      </w:pPr>
      <w:r w:rsidRPr="00381655">
        <w:rPr>
          <w:rFonts w:ascii="Times New Roman" w:hAnsi="Times New Roman" w:cs="Times New Roman"/>
          <w:i/>
          <w:sz w:val="24"/>
          <w:lang w:val="ro-RO"/>
        </w:rPr>
        <w:t>Obiectivul general</w:t>
      </w:r>
      <w:r w:rsidRPr="008F7929">
        <w:rPr>
          <w:rFonts w:ascii="Times New Roman" w:hAnsi="Times New Roman" w:cs="Times New Roman"/>
          <w:i/>
          <w:sz w:val="24"/>
          <w:lang w:val="ro-RO"/>
        </w:rPr>
        <w:t>:</w:t>
      </w:r>
      <w:r w:rsidR="00381655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lang w:val="ro-RO"/>
        </w:rPr>
        <w:t xml:space="preserve">Înfiinţarea şi dezvoltarea unui sistem realist şi eficient de servicii sociale la nivelul comunei, capabil să asigure incluziunea socială a tuturor categoriilor vulnerabile, creşterea calităţii vieţii, tratament egal, nediscriminare şi dreptul la o viaţă demnă pentru toţi locuitorii </w:t>
      </w:r>
      <w:r w:rsidR="00381655">
        <w:rPr>
          <w:rFonts w:ascii="Times New Roman" w:hAnsi="Times New Roman" w:cs="Times New Roman"/>
          <w:sz w:val="24"/>
          <w:lang w:val="ro-RO"/>
        </w:rPr>
        <w:t>C</w:t>
      </w:r>
      <w:r w:rsidRPr="008F7929">
        <w:rPr>
          <w:rFonts w:ascii="Times New Roman" w:hAnsi="Times New Roman" w:cs="Times New Roman"/>
          <w:sz w:val="24"/>
          <w:lang w:val="ro-RO"/>
        </w:rPr>
        <w:t>omunei</w:t>
      </w:r>
      <w:r w:rsidR="00BC2FE1">
        <w:rPr>
          <w:rFonts w:ascii="Times New Roman" w:hAnsi="Times New Roman" w:cs="Times New Roman"/>
          <w:sz w:val="24"/>
          <w:lang w:val="ro-RO"/>
        </w:rPr>
        <w:t xml:space="preserve"> Moldoveni</w:t>
      </w:r>
      <w:r w:rsidRPr="008F7929">
        <w:rPr>
          <w:rFonts w:ascii="Times New Roman" w:hAnsi="Times New Roman" w:cs="Times New Roman"/>
          <w:sz w:val="24"/>
          <w:lang w:val="ro-RO"/>
        </w:rPr>
        <w:t>.</w:t>
      </w:r>
    </w:p>
    <w:p w14:paraId="0E566113" w14:textId="77777777" w:rsidR="00B1093E" w:rsidRPr="00381655" w:rsidRDefault="00B1093E" w:rsidP="00381655">
      <w:p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381655">
        <w:rPr>
          <w:rFonts w:ascii="Times New Roman" w:hAnsi="Times New Roman" w:cs="Times New Roman"/>
          <w:i/>
          <w:sz w:val="24"/>
          <w:lang w:val="ro-RO"/>
        </w:rPr>
        <w:t>Obiectivele specifice:</w:t>
      </w:r>
    </w:p>
    <w:p w14:paraId="0DF5D7D6" w14:textId="1CF0EAD1" w:rsidR="00BC2FE1" w:rsidRDefault="00BC2FE1" w:rsidP="0038165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Prevenirea și combaterea sărăciei și riscului de excluziune socială din Comuna Moldoveni;</w:t>
      </w:r>
    </w:p>
    <w:p w14:paraId="1B3F53DC" w14:textId="48144241" w:rsidR="005235BE" w:rsidRDefault="005235BE" w:rsidP="0038165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5235BE">
        <w:rPr>
          <w:rFonts w:ascii="Times New Roman" w:hAnsi="Times New Roman" w:cs="Times New Roman"/>
          <w:sz w:val="24"/>
          <w:lang w:val="ro-RO"/>
        </w:rPr>
        <w:t>Dezvoltarea serviciilor sociale pentru asistența socială a copilului și a familiei pentru prevenirea separării copilului de familie și abandonului școlar</w:t>
      </w:r>
      <w:r>
        <w:rPr>
          <w:rFonts w:ascii="Times New Roman" w:hAnsi="Times New Roman" w:cs="Times New Roman"/>
          <w:sz w:val="24"/>
          <w:lang w:val="ro-RO"/>
        </w:rPr>
        <w:t>;</w:t>
      </w:r>
    </w:p>
    <w:p w14:paraId="22D6C2B6" w14:textId="707B8212" w:rsidR="00B1093E" w:rsidRDefault="00BC2FE1" w:rsidP="0038165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Prevenirea și combaterea violenței în familie</w:t>
      </w:r>
      <w:r w:rsidR="00B1093E" w:rsidRPr="008F7929">
        <w:rPr>
          <w:rFonts w:ascii="Times New Roman" w:hAnsi="Times New Roman" w:cs="Times New Roman"/>
          <w:sz w:val="24"/>
          <w:lang w:val="ro-RO"/>
        </w:rPr>
        <w:t>;</w:t>
      </w:r>
    </w:p>
    <w:p w14:paraId="326D80E7" w14:textId="63663DEC" w:rsidR="009C4193" w:rsidRDefault="009C4193" w:rsidP="0038165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Creșterea calității vieții și integrarea persoanelor cu dizabilități;</w:t>
      </w:r>
    </w:p>
    <w:p w14:paraId="75FFD5CA" w14:textId="4C3E82FE" w:rsidR="009C4193" w:rsidRPr="008F7929" w:rsidRDefault="009C4193" w:rsidP="0038165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Prevenirea instituționalizării prin diversificarea serviciilor sociale a persoanelor vârstnice</w:t>
      </w:r>
      <w:r w:rsidR="005235BE">
        <w:rPr>
          <w:rFonts w:ascii="Times New Roman" w:hAnsi="Times New Roman" w:cs="Times New Roman"/>
          <w:sz w:val="24"/>
          <w:lang w:val="ro-RO"/>
        </w:rPr>
        <w:t>.</w:t>
      </w:r>
    </w:p>
    <w:p w14:paraId="1B3B0904" w14:textId="77777777" w:rsidR="00862B10" w:rsidRPr="008F7929" w:rsidRDefault="00862B10" w:rsidP="00381655">
      <w:pPr>
        <w:pStyle w:val="ListParagraph"/>
        <w:tabs>
          <w:tab w:val="left" w:pos="180"/>
          <w:tab w:val="left" w:pos="810"/>
        </w:tabs>
        <w:ind w:left="0"/>
        <w:jc w:val="both"/>
        <w:rPr>
          <w:rFonts w:ascii="Times New Roman" w:hAnsi="Times New Roman" w:cs="Times New Roman"/>
          <w:sz w:val="24"/>
          <w:lang w:val="ro-RO"/>
        </w:rPr>
      </w:pPr>
    </w:p>
    <w:p w14:paraId="3D255CA9" w14:textId="0866DBD1" w:rsidR="00862B10" w:rsidRPr="007B168C" w:rsidRDefault="00862B10" w:rsidP="00381655">
      <w:pPr>
        <w:pStyle w:val="ListParagraph"/>
        <w:tabs>
          <w:tab w:val="left" w:pos="180"/>
          <w:tab w:val="left" w:pos="810"/>
        </w:tabs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lang w:val="ro-RO"/>
        </w:rPr>
        <w:t xml:space="preserve">2) </w:t>
      </w:r>
      <w:r w:rsidRPr="008F7929">
        <w:rPr>
          <w:b/>
          <w:color w:val="202124"/>
          <w:sz w:val="14"/>
          <w:szCs w:val="14"/>
          <w:lang w:val="ro-RO"/>
        </w:rPr>
        <w:t> </w:t>
      </w:r>
      <w:r w:rsidRPr="008F7929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S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t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rat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e</w:t>
      </w:r>
      <w:r w:rsidRPr="008F7929">
        <w:rPr>
          <w:rFonts w:ascii="Times New Roman" w:hAnsi="Times New Roman" w:cs="Times New Roman"/>
          <w:b/>
          <w:bCs/>
          <w:spacing w:val="-4"/>
          <w:sz w:val="24"/>
          <w:szCs w:val="24"/>
          <w:lang w:val="ro-RO"/>
        </w:rPr>
        <w:t>g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i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județean</w:t>
      </w:r>
      <w:r w:rsidR="005F4810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ă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d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z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v</w:t>
      </w:r>
      <w:r w:rsidRPr="008F7929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o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l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t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ar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e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8F7929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v</w:t>
      </w:r>
      <w:r w:rsidRPr="008F7929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i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ciil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or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so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ci</w:t>
      </w:r>
      <w:r w:rsidRPr="008F7929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a</w:t>
      </w:r>
      <w:r w:rsidRPr="008F7929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le pentru perioada 2022-2031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8F7929">
        <w:rPr>
          <w:rFonts w:ascii="Times New Roman" w:hAnsi="Times New Roman" w:cs="Times New Roman"/>
          <w:b/>
          <w:bCs/>
          <w:color w:val="202124"/>
          <w:spacing w:val="1"/>
          <w:sz w:val="24"/>
          <w:szCs w:val="24"/>
          <w:lang w:val="ro-RO"/>
        </w:rPr>
        <w:t xml:space="preserve"> 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a</w:t>
      </w:r>
      <w:r w:rsidRPr="007B168C">
        <w:rPr>
          <w:rFonts w:ascii="Times New Roman" w:hAnsi="Times New Roman" w:cs="Times New Roman"/>
          <w:color w:val="202124"/>
          <w:spacing w:val="-2"/>
          <w:sz w:val="24"/>
          <w:szCs w:val="24"/>
          <w:lang w:val="ro-RO"/>
        </w:rPr>
        <w:t>p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r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ob</w:t>
      </w:r>
      <w:r w:rsidRPr="007B168C">
        <w:rPr>
          <w:rFonts w:ascii="Times New Roman" w:hAnsi="Times New Roman" w:cs="Times New Roman"/>
          <w:color w:val="202124"/>
          <w:spacing w:val="-3"/>
          <w:sz w:val="24"/>
          <w:szCs w:val="24"/>
          <w:lang w:val="ro-RO"/>
        </w:rPr>
        <w:t>a</w:t>
      </w:r>
      <w:r w:rsidRPr="007B168C">
        <w:rPr>
          <w:rFonts w:ascii="Times New Roman" w:hAnsi="Times New Roman" w:cs="Times New Roman"/>
          <w:color w:val="202124"/>
          <w:spacing w:val="2"/>
          <w:sz w:val="24"/>
          <w:szCs w:val="24"/>
          <w:lang w:val="ro-RO"/>
        </w:rPr>
        <w:t>t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ă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 xml:space="preserve"> </w:t>
      </w:r>
      <w:r w:rsidRPr="007B168C">
        <w:rPr>
          <w:rFonts w:ascii="Times New Roman" w:hAnsi="Times New Roman" w:cs="Times New Roman"/>
          <w:color w:val="202124"/>
          <w:spacing w:val="3"/>
          <w:sz w:val="24"/>
          <w:szCs w:val="24"/>
          <w:lang w:val="ro-RO"/>
        </w:rPr>
        <w:t>p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ri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n 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H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o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tă</w:t>
      </w:r>
      <w:r w:rsidRPr="007B168C">
        <w:rPr>
          <w:rFonts w:ascii="Times New Roman" w:hAnsi="Times New Roman" w:cs="Times New Roman"/>
          <w:color w:val="202124"/>
          <w:spacing w:val="1"/>
          <w:sz w:val="24"/>
          <w:szCs w:val="24"/>
          <w:lang w:val="ro-RO"/>
        </w:rPr>
        <w:t>r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â</w:t>
      </w:r>
      <w:r w:rsidRPr="007B168C">
        <w:rPr>
          <w:rFonts w:ascii="Times New Roman" w:hAnsi="Times New Roman" w:cs="Times New Roman"/>
          <w:color w:val="202124"/>
          <w:spacing w:val="1"/>
          <w:sz w:val="24"/>
          <w:szCs w:val="24"/>
          <w:lang w:val="ro-RO"/>
        </w:rPr>
        <w:t>r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e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a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 xml:space="preserve"> 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Co</w:t>
      </w:r>
      <w:r w:rsidRPr="007B168C">
        <w:rPr>
          <w:rFonts w:ascii="Times New Roman" w:hAnsi="Times New Roman" w:cs="Times New Roman"/>
          <w:color w:val="202124"/>
          <w:spacing w:val="-2"/>
          <w:sz w:val="24"/>
          <w:szCs w:val="24"/>
          <w:lang w:val="ro-RO"/>
        </w:rPr>
        <w:t>n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s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i</w:t>
      </w:r>
      <w:r w:rsidRPr="007B168C">
        <w:rPr>
          <w:rFonts w:ascii="Times New Roman" w:hAnsi="Times New Roman" w:cs="Times New Roman"/>
          <w:color w:val="202124"/>
          <w:spacing w:val="2"/>
          <w:sz w:val="24"/>
          <w:szCs w:val="24"/>
          <w:lang w:val="ro-RO"/>
        </w:rPr>
        <w:t>l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i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u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l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ui </w:t>
      </w:r>
      <w:r w:rsidRPr="007B168C">
        <w:rPr>
          <w:rFonts w:ascii="Times New Roman" w:hAnsi="Times New Roman" w:cs="Times New Roman"/>
          <w:color w:val="202124"/>
          <w:spacing w:val="-4"/>
          <w:sz w:val="24"/>
          <w:szCs w:val="24"/>
          <w:lang w:val="ro-RO"/>
        </w:rPr>
        <w:t>Județean</w:t>
      </w:r>
      <w:r w:rsidRPr="007B168C">
        <w:rPr>
          <w:rFonts w:ascii="Times New Roman" w:hAnsi="Times New Roman" w:cs="Times New Roman"/>
          <w:color w:val="202124"/>
          <w:spacing w:val="2"/>
          <w:sz w:val="24"/>
          <w:szCs w:val="24"/>
          <w:lang w:val="ro-RO"/>
        </w:rPr>
        <w:t xml:space="preserve"> Neamț </w:t>
      </w:r>
      <w:r w:rsidRPr="007B168C">
        <w:rPr>
          <w:rFonts w:ascii="Times New Roman" w:hAnsi="Times New Roman" w:cs="Times New Roman"/>
          <w:color w:val="202124"/>
          <w:spacing w:val="-2"/>
          <w:sz w:val="24"/>
          <w:szCs w:val="24"/>
          <w:lang w:val="ro-RO"/>
        </w:rPr>
        <w:t>n</w:t>
      </w:r>
      <w:r w:rsidRPr="007B168C">
        <w:rPr>
          <w:rFonts w:ascii="Times New Roman" w:hAnsi="Times New Roman" w:cs="Times New Roman"/>
          <w:color w:val="202124"/>
          <w:spacing w:val="-1"/>
          <w:sz w:val="24"/>
          <w:szCs w:val="24"/>
          <w:lang w:val="ro-RO"/>
        </w:rPr>
        <w:t>r</w:t>
      </w:r>
      <w:r w:rsidRPr="007B168C">
        <w:rPr>
          <w:rFonts w:ascii="Times New Roman" w:hAnsi="Times New Roman" w:cs="Times New Roman"/>
          <w:color w:val="202124"/>
          <w:spacing w:val="1"/>
          <w:sz w:val="24"/>
          <w:szCs w:val="24"/>
          <w:lang w:val="ro-RO"/>
        </w:rPr>
        <w:t>. 294 din 21.12.2022</w:t>
      </w:r>
      <w:r w:rsidRPr="007B168C">
        <w:rPr>
          <w:rFonts w:ascii="Times New Roman" w:hAnsi="Times New Roman" w:cs="Times New Roman"/>
          <w:color w:val="202124"/>
          <w:sz w:val="24"/>
          <w:szCs w:val="24"/>
          <w:lang w:val="ro-RO"/>
        </w:rPr>
        <w:t>, respectiv următoarele obiective:</w:t>
      </w:r>
    </w:p>
    <w:p w14:paraId="5D60A200" w14:textId="77777777" w:rsidR="00862B10" w:rsidRPr="00381655" w:rsidRDefault="00862B10" w:rsidP="00323ACB">
      <w:pPr>
        <w:ind w:right="547"/>
        <w:contextualSpacing/>
        <w:jc w:val="both"/>
        <w:rPr>
          <w:rFonts w:ascii="Helvetica" w:eastAsia="Times New Roman" w:hAnsi="Helvetica" w:cs="Arial"/>
          <w:b/>
          <w:bCs/>
          <w:color w:val="202124"/>
          <w:sz w:val="20"/>
          <w:szCs w:val="20"/>
          <w:lang w:val="ro-RO"/>
        </w:rPr>
      </w:pPr>
      <w:r w:rsidRPr="00381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Domeniul protecției și promovării drepturilor copilului</w:t>
      </w:r>
    </w:p>
    <w:p w14:paraId="5F33B556" w14:textId="77777777" w:rsidR="00862B10" w:rsidRPr="00381655" w:rsidRDefault="00862B10" w:rsidP="00323ACB">
      <w:pPr>
        <w:ind w:right="54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3816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  <w:t>Obiective generale:</w:t>
      </w:r>
    </w:p>
    <w:p w14:paraId="5DC08E30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Creșterea nivelului de participare a copiilor la luarea deciziilor care îi privesc;</w:t>
      </w:r>
    </w:p>
    <w:p w14:paraId="3F1BC17F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Îmbunătățirea stării de sănătate a copiilor;</w:t>
      </w:r>
    </w:p>
    <w:p w14:paraId="26DAFADB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Creșterea accesului la servicii de asistență medicală primară și de specialitate de calitate pentru toți copiii, cu accent pe serviciile preventive și pe copiii vulnerabili;</w:t>
      </w:r>
    </w:p>
    <w:p w14:paraId="39D6759B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Creșterea participării copiilor la o educație incluzivă de calitate;</w:t>
      </w:r>
    </w:p>
    <w:p w14:paraId="736A912C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Dezvoltarea unor mecanisme de protecție a copiilor împotriva violenței;</w:t>
      </w:r>
    </w:p>
    <w:p w14:paraId="5A504B54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Asigurarea unei justiții prietenoase pentru copii;</w:t>
      </w:r>
    </w:p>
    <w:p w14:paraId="5566C994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Asigurarea accesului copiilor la servicii publice de calitate, în condiții de siguranță;</w:t>
      </w:r>
    </w:p>
    <w:p w14:paraId="63501A77" w14:textId="77777777" w:rsidR="00862B10" w:rsidRPr="008F7929" w:rsidRDefault="00862B10" w:rsidP="0038165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Dezvoltarea capacității de proiectare a politicilor publice ce vizează domeniul protecției drepturilor copilului pe bază de dovezi.</w:t>
      </w:r>
    </w:p>
    <w:p w14:paraId="1314300F" w14:textId="77777777" w:rsidR="00862B10" w:rsidRPr="00381655" w:rsidRDefault="00862B10" w:rsidP="00323AC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381655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Obiective specifice:</w:t>
      </w:r>
    </w:p>
    <w:p w14:paraId="08846759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Hlk103777517"/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gradului de conștientizare cu privire la dreptul copiilor de participare la luarea deciziilor în problemele care îi privesc</w:t>
      </w:r>
      <w:bookmarkEnd w:id="0"/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5A7D8823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gradului de participare activă și incluzivă a copiilor în toate etapele deciziilor care îi privesc;</w:t>
      </w:r>
    </w:p>
    <w:p w14:paraId="1CDC9982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Reducerea sărăciei în rândul copiilor și creșterea accesului la servicii de calitate;</w:t>
      </w:r>
    </w:p>
    <w:p w14:paraId="55F9CE31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Reducerea inechităților care afectează copiii din grupuri vulnerabile;</w:t>
      </w:r>
    </w:p>
    <w:p w14:paraId="6B680FF4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accesului la servicii de asistență medicală primară și de specialitate de calitate pentru toți copiii, cu accent pe serviciile preventive și pe copiii vulnerabili;</w:t>
      </w:r>
    </w:p>
    <w:p w14:paraId="123901E6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la educația incluzivă a copiilor din grupuri vulnerabile: mediul rural, CES/dizabilități, romi și altele;</w:t>
      </w:r>
    </w:p>
    <w:p w14:paraId="300A8A94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calității procesului educațional;</w:t>
      </w:r>
    </w:p>
    <w:p w14:paraId="1F73282F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gradului de conștientizare a publicului larg în general și a copiilor în particular, cu privire la formele de violență și impactul violenței asupra copilului;</w:t>
      </w:r>
    </w:p>
    <w:p w14:paraId="1FD95371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Asigurarea unui mecanism de identificare și raportare a tuturor situațiilor de violență asupra copilului;</w:t>
      </w:r>
    </w:p>
    <w:p w14:paraId="6F62CAA6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Asigurarea accesului copiilor la un sistem de proceduri penale, civile și administrative, prietenos cu copiii și suportiv cu drepturile acestora;</w:t>
      </w:r>
    </w:p>
    <w:p w14:paraId="3C052FC7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1" w:name="_Hlk103865953"/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capacității adulților de a oferi servicii de calitate, în siguranță, tuturor copiilor</w:t>
      </w:r>
      <w:bookmarkEnd w:id="1"/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2E06A74E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siguranței utilizării mediului virtual de către copii;</w:t>
      </w:r>
    </w:p>
    <w:p w14:paraId="504D3626" w14:textId="77777777" w:rsidR="00862B10" w:rsidRPr="008F7929" w:rsidRDefault="00862B10" w:rsidP="00381655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Consolidarea sistemelor de monitorizare și evaluare pentru a fundamenta procesul de proiectare și implementare a politicilor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publice ce vizează domeniul protecției drepturilor copilului</w:t>
      </w: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D232F57" w14:textId="77777777" w:rsidR="00862B10" w:rsidRPr="00381655" w:rsidRDefault="00862B10" w:rsidP="00323AC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3816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Domeniul protecției și promovării drepturilor persoanelor adulte cu dizabilități</w:t>
      </w:r>
    </w:p>
    <w:p w14:paraId="09DBE6CA" w14:textId="77777777" w:rsidR="00862B10" w:rsidRPr="00381655" w:rsidRDefault="00862B10" w:rsidP="00323AC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381655">
        <w:rPr>
          <w:rFonts w:ascii="Times New Roman" w:hAnsi="Times New Roman" w:cs="Times New Roman"/>
          <w:i/>
          <w:iCs/>
          <w:sz w:val="24"/>
          <w:szCs w:val="24"/>
          <w:lang w:val="ro-RO"/>
        </w:rPr>
        <w:t>Obiective generale:</w:t>
      </w:r>
    </w:p>
    <w:p w14:paraId="5431801D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bookmarkStart w:id="2" w:name="_Hlk109028844"/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accesului fizic, informațional și comunicațional al persoanelor cu dizabilități la produsele, serviciile și programele pe care societatea le pune la dispoziția membrilor săi.</w:t>
      </w:r>
    </w:p>
    <w:bookmarkEnd w:id="2"/>
    <w:p w14:paraId="0A0CC33D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Promovarea și protecția drepturilor persoanelor cu dizabilități;</w:t>
      </w:r>
    </w:p>
    <w:p w14:paraId="26AAA173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unui standard de viață adecvat pentru persoanele cu dizabilități cu șanse egale cu toate celelalte persoane;</w:t>
      </w:r>
    </w:p>
    <w:p w14:paraId="7B008BA5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oportunității persoanelor cu dizabilități de punere în aplicare și de dezvoltare a calificării și a competențelor, precum și a potențialului creativ și productiv, într-o ocupație liber aleasă și într-un loc de muncă incluziv, accesibil, adaptat;</w:t>
      </w:r>
    </w:p>
    <w:p w14:paraId="5EFA3519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vieții independente pentru persoanele cu dizabilități;</w:t>
      </w:r>
    </w:p>
    <w:p w14:paraId="3FD3D92C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de servicii de sănătate de cea mai bună calitate pentru persoanele cu dizabilități;</w:t>
      </w:r>
    </w:p>
    <w:p w14:paraId="3D3F45B3" w14:textId="77777777" w:rsidR="00862B10" w:rsidRPr="008F7929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Asigurarea participării active a persoanelor cu dizabilități, ca membri deplini ai societății, cu drepturi egale;</w:t>
      </w:r>
    </w:p>
    <w:p w14:paraId="3F61C044" w14:textId="77777777" w:rsidR="00862B10" w:rsidRPr="00323ACB" w:rsidRDefault="00862B10" w:rsidP="0038165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Creșterea participării persoanelor cu dizabilități și a organizațiilor reprezentative ale acestora </w:t>
      </w:r>
      <w:r w:rsidRPr="00323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la procesul de monitorizare a </w:t>
      </w:r>
      <w:hyperlink r:id="rId8" w:history="1">
        <w:r w:rsidRPr="00323AC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o-RO"/>
          </w:rPr>
          <w:t>Convenției</w:t>
        </w:r>
      </w:hyperlink>
      <w:r w:rsidRPr="00323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ONU privind drepturile persoanelor cu dizabilități.</w:t>
      </w:r>
    </w:p>
    <w:p w14:paraId="2419BB2F" w14:textId="77777777" w:rsidR="00862B10" w:rsidRPr="00323ACB" w:rsidRDefault="00862B10" w:rsidP="00323AC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ro-RO"/>
        </w:rPr>
      </w:pPr>
      <w:r w:rsidRPr="00323ACB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val="ro-RO"/>
        </w:rPr>
        <w:t>Obiective specifice:</w:t>
      </w:r>
    </w:p>
    <w:p w14:paraId="0A2EC2AF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3" w:name="_Hlk109028899"/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Îmbunătățirea accesului persoanelor cu dizabilități la mediul fizic</w:t>
      </w:r>
      <w:bookmarkEnd w:id="3"/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;</w:t>
      </w:r>
    </w:p>
    <w:p w14:paraId="3EEF676D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persoanelor cu dizabilități la informații și comunicații accesibile;</w:t>
      </w:r>
    </w:p>
    <w:p w14:paraId="015F8EC1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Îmbunătățirea accesului persoanelor cu dizabilități la transport public;</w:t>
      </w:r>
    </w:p>
    <w:p w14:paraId="49F42089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posibilității persoanelor cu dizabilități de a lua decizii;</w:t>
      </w:r>
    </w:p>
    <w:p w14:paraId="3590F7DF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accesului persoanelor cu dizabilități la etapele procedurale ale sistemului de justiție;</w:t>
      </w:r>
    </w:p>
    <w:p w14:paraId="1581EB9F" w14:textId="77777777" w:rsidR="00862B10" w:rsidRPr="008F7929" w:rsidRDefault="00862B10" w:rsidP="00381655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Creșterea accesului persoanelor cu dizabilități la ocuparea</w:t>
      </w:r>
      <w:r w:rsidRPr="008F792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</w:t>
      </w: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unui loc de muncă incluziv, accesibil, adaptat;</w:t>
      </w:r>
    </w:p>
    <w:p w14:paraId="343902C9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Creșterea accesului persoanelor cu dizabilități la formare profesională prin dezvoltarea calificării și a competențelor, precum și a potențialului creativ și productiv;</w:t>
      </w:r>
    </w:p>
    <w:p w14:paraId="0A2CB290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la programele de reducere a sărăciei;</w:t>
      </w:r>
    </w:p>
    <w:p w14:paraId="6FCAF41C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Îmbunătățirea acoperirii cheltuielilor suplimentare legate de dizabilitate prin programele existente;  </w:t>
      </w:r>
    </w:p>
    <w:p w14:paraId="5803C00B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Îmbunătățirea serviciile sociale pentru persoane cu dizabilități;</w:t>
      </w:r>
    </w:p>
    <w:p w14:paraId="22EB592A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Dezinstituționalizarea persoanelor cu dizabilități;</w:t>
      </w:r>
    </w:p>
    <w:p w14:paraId="39C85AB4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la serviciile sociale în comunitate necesare pentru o viață independentă;</w:t>
      </w:r>
    </w:p>
    <w:p w14:paraId="564C78F1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persoanelor cu dizabilități la serviciile curative și de sănătate publică;</w:t>
      </w:r>
    </w:p>
    <w:p w14:paraId="4EC88F50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Asigurarea exercitării dreptului la sănătate sexuală și reproductivă (SSR) al persoanelor cu dizabilități;</w:t>
      </w:r>
    </w:p>
    <w:p w14:paraId="7F2EE120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Îmbunătățirea accesului persoanelor cu dizabilități la tratament, cu demnitate și respect;</w:t>
      </w:r>
    </w:p>
    <w:p w14:paraId="447F8C80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Creșterea accesului persoanelor cu dizabilități la activități culturale;</w:t>
      </w:r>
    </w:p>
    <w:p w14:paraId="6C3DD859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accesului persoanelor cu dizabilități la activități sportive, de recreere și turism;</w:t>
      </w:r>
    </w:p>
    <w:p w14:paraId="1BA1C3F9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Creșterea accesului persoanelor cu dizabilități la procesul electoral;</w:t>
      </w:r>
    </w:p>
    <w:p w14:paraId="27E7E1D4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participării persoanelor cu dizabilități la viața publică;</w:t>
      </w:r>
    </w:p>
    <w:p w14:paraId="05CF489A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Îmbunătățirea capacității și coordonării actorilor la nivel local/central pentru elaborarea și implementarea politicilor care afectează realizarea drepturilor persoanelor cu dizabilități;</w:t>
      </w:r>
    </w:p>
    <w:p w14:paraId="7C20F377" w14:textId="77777777" w:rsidR="00862B10" w:rsidRPr="008F7929" w:rsidRDefault="00862B10" w:rsidP="00381655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Creșterea participării persoanelor cu dizabilități și a organizațiilor reprezentative ale acestora la procesul de monitorizare a drepturilor persoanelor cu dizabilități.</w:t>
      </w:r>
    </w:p>
    <w:p w14:paraId="17290CED" w14:textId="77777777" w:rsidR="00862B10" w:rsidRPr="00323ACB" w:rsidRDefault="00862B10" w:rsidP="00323ACB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  <w:r w:rsidRPr="00323A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Domeniul persoanelor adulte aflate în dificultate și a persoanelor vârstnice</w:t>
      </w:r>
    </w:p>
    <w:p w14:paraId="6E65DBD8" w14:textId="77777777" w:rsidR="007E12C6" w:rsidRPr="00323ACB" w:rsidRDefault="00862B10" w:rsidP="00323AC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3A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Obiectiv general:</w:t>
      </w:r>
      <w:r w:rsidRPr="00323AC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CE19AC5" w14:textId="54AFE2CE" w:rsidR="00862B10" w:rsidRPr="008F7929" w:rsidRDefault="00862B10" w:rsidP="003816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Reducerea riscului de excluziune socială și sărăcie a persoanelor adulte aflate în dificultate/persoanelor vârstnice și creșterea calității vieții acestora.</w:t>
      </w:r>
    </w:p>
    <w:p w14:paraId="15FB33A9" w14:textId="77777777" w:rsidR="00862B10" w:rsidRPr="00323ACB" w:rsidRDefault="00862B10" w:rsidP="00323AC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323A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Obiective specifice:</w:t>
      </w:r>
    </w:p>
    <w:p w14:paraId="60F9A7CB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Accesibilizarea informației publice pentru toate p</w:t>
      </w: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>ersoanele adulte aflate în dificultate/persoanelor vârstnice;</w:t>
      </w:r>
    </w:p>
    <w:p w14:paraId="64A708EF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Dezvoltarea parteneriatelor public-public și public-privat în combaterea sărăciei și excluziunii sociale;</w:t>
      </w:r>
    </w:p>
    <w:p w14:paraId="770EB221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Consultarea și implicarea grupurilor vulnerabile în dezvoltarea programelor de asistență socială și a programelor privind economia socială; </w:t>
      </w:r>
    </w:p>
    <w:p w14:paraId="09D49F1E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Creșterea accesului persoanelor vulnerabile la servicii de interes public general și asigurarea continuității activității și a măsurilor de redresare și reziliență în sistemul de servicii sociale;</w:t>
      </w:r>
    </w:p>
    <w:p w14:paraId="3CE8F094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Prevenirea instituționalizării persoanelor adulte în dificultate/vârstnice și oferirea serviciilor sociale, integrate, orientate spre promovarea unui trai independent în comunitate;</w:t>
      </w:r>
    </w:p>
    <w:p w14:paraId="4F623DD3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Prevenirea și combaterea discriminării grupurilor vulnerabile și promovarea incluziunii sociale în zonele rurale și urbane marginalizate;</w:t>
      </w:r>
    </w:p>
    <w:p w14:paraId="06EA9C40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Creșterea capacității instituționale a serviciilor de asistență socială prin racordarea la tehnologia digitală;</w:t>
      </w:r>
    </w:p>
    <w:p w14:paraId="7178F97F" w14:textId="77777777" w:rsidR="00862B10" w:rsidRPr="008F7929" w:rsidRDefault="00862B10" w:rsidP="0038165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Consolidarea și optimizarea sistemului electronic de acordare a asistenței sociale;</w:t>
      </w:r>
    </w:p>
    <w:p w14:paraId="49086A75" w14:textId="77777777" w:rsidR="00862B10" w:rsidRPr="008F7929" w:rsidRDefault="00862B10" w:rsidP="00381655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Servicii sociale, integrate, orientate spre promovarea unui trai independent în comunitate;</w:t>
      </w:r>
    </w:p>
    <w:p w14:paraId="62E8E4F1" w14:textId="77777777" w:rsidR="00862B10" w:rsidRPr="008F7929" w:rsidRDefault="00862B10" w:rsidP="00381655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Dezvoltarea și concertarea unor măsuri economice, sociale și administrative care să contribuie la reducerea sărăciei și creșterea incluziunii sociale;</w:t>
      </w:r>
    </w:p>
    <w:p w14:paraId="1BA3D49C" w14:textId="77777777" w:rsidR="00862B10" w:rsidRPr="008F7929" w:rsidRDefault="00862B10" w:rsidP="00381655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Educație și formare eficiente, echitabile și inclusive.</w:t>
      </w:r>
    </w:p>
    <w:p w14:paraId="77201D17" w14:textId="77777777" w:rsidR="00862B10" w:rsidRPr="00323ACB" w:rsidRDefault="00862B10" w:rsidP="00323ACB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  <w:r w:rsidRPr="00323A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Domeniul prevenirii și combaterii violenței domestice</w:t>
      </w:r>
    </w:p>
    <w:p w14:paraId="2608F2F1" w14:textId="77777777" w:rsidR="00862B10" w:rsidRPr="00323ACB" w:rsidRDefault="00862B10" w:rsidP="00323ACB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</w:pPr>
      <w:bookmarkStart w:id="4" w:name="_Hlk103596872"/>
      <w:r w:rsidRPr="00323ACB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Obiective generale</w:t>
      </w:r>
      <w:bookmarkEnd w:id="4"/>
      <w:r w:rsidRPr="00323ACB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:</w:t>
      </w:r>
    </w:p>
    <w:p w14:paraId="405CDD7E" w14:textId="77777777" w:rsidR="00862B10" w:rsidRPr="008F7929" w:rsidRDefault="00862B10" w:rsidP="00381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Cs/>
          <w:sz w:val="24"/>
          <w:szCs w:val="24"/>
          <w:lang w:val="ro-RO"/>
        </w:rPr>
        <w:t>Eliminarea tuturor formelor de violență domestică și de violență împotriva femeilor în sfera publică și privată;</w:t>
      </w:r>
    </w:p>
    <w:p w14:paraId="45AA11BA" w14:textId="77777777" w:rsidR="00862B10" w:rsidRPr="008F7929" w:rsidRDefault="00862B10" w:rsidP="00381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Consolidarea cadrului legislativ din domeniul prevenirii și combaterii violenței domestice.</w:t>
      </w:r>
    </w:p>
    <w:p w14:paraId="2876D614" w14:textId="77777777" w:rsidR="00862B10" w:rsidRPr="00323ACB" w:rsidRDefault="00862B10" w:rsidP="00323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323ACB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Obiective specifice:</w:t>
      </w:r>
    </w:p>
    <w:p w14:paraId="71FF7802" w14:textId="77777777" w:rsidR="00862B10" w:rsidRPr="008F7929" w:rsidRDefault="00862B10" w:rsidP="0038165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Cs/>
          <w:sz w:val="24"/>
          <w:szCs w:val="24"/>
          <w:lang w:val="ro-RO"/>
        </w:rPr>
        <w:t>Asigurarea prevenirii violenței domestice ținând cont de nevoile specifice ale grupurilor vulnerabile și c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ombaterea violenței domestice în toate domeniile vieții sociale;</w:t>
      </w:r>
    </w:p>
    <w:p w14:paraId="70ABCE26" w14:textId="77777777" w:rsidR="00862B10" w:rsidRPr="008F7929" w:rsidRDefault="00862B10" w:rsidP="0038165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Cs/>
          <w:sz w:val="24"/>
          <w:szCs w:val="24"/>
          <w:lang w:val="ro-RO"/>
        </w:rPr>
        <w:t>Formarea/instruirea specifică și adecvată a tuturor categoriilor de profesioniști cu competențe specifice în domeniul violenței domestice și violenței de gen, în vederea prevenirii și combaterii eficiente a acestui fenomen.</w:t>
      </w:r>
    </w:p>
    <w:p w14:paraId="1F3794E9" w14:textId="77777777" w:rsidR="00057D82" w:rsidRDefault="00057D82" w:rsidP="00381655">
      <w:pPr>
        <w:pStyle w:val="ListParagraph"/>
        <w:tabs>
          <w:tab w:val="left" w:pos="180"/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FC15C1A" w14:textId="7D0E0DE2" w:rsidR="007E12C6" w:rsidRPr="008F7929" w:rsidRDefault="0068088B" w:rsidP="00381655">
      <w:pPr>
        <w:pStyle w:val="ListParagraph"/>
        <w:tabs>
          <w:tab w:val="left" w:pos="180"/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3) </w:t>
      </w:r>
      <w:r w:rsidR="007E12C6"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Strategii naționale:</w:t>
      </w:r>
    </w:p>
    <w:p w14:paraId="07F710C3" w14:textId="122D07E7" w:rsidR="007E12C6" w:rsidRPr="008F7929" w:rsidRDefault="007E12C6" w:rsidP="00381655">
      <w:pPr>
        <w:pStyle w:val="ListParagraph"/>
        <w:tabs>
          <w:tab w:val="left" w:pos="180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="0068088B"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hyperlink r:id="rId9" w:history="1">
        <w:r w:rsidRPr="008F7929">
          <w:rPr>
            <w:rFonts w:ascii="Times New Roman" w:hAnsi="Times New Roman" w:cs="Times New Roman"/>
            <w:b/>
            <w:bCs/>
            <w:sz w:val="24"/>
            <w:szCs w:val="24"/>
            <w:lang w:val="ro-RO"/>
          </w:rPr>
          <w:t>Strategia naţională privind incluziunea socială şi reducerea sărăciei pentru perioada 2022—2027</w:t>
        </w:r>
      </w:hyperlink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aprobată prin Hotărârea Guvernului nr. </w:t>
      </w:r>
      <w:bookmarkStart w:id="5" w:name="_Hlk116543661"/>
      <w:r w:rsidRPr="008F7929">
        <w:rPr>
          <w:rFonts w:ascii="Times New Roman" w:hAnsi="Times New Roman" w:cs="Times New Roman"/>
          <w:sz w:val="24"/>
          <w:szCs w:val="24"/>
          <w:lang w:val="ro-RO"/>
        </w:rPr>
        <w:t>440/2022</w:t>
      </w:r>
      <w:bookmarkEnd w:id="5"/>
      <w:r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4ACEF9" w14:textId="77777777" w:rsidR="007E12C6" w:rsidRPr="008F7929" w:rsidRDefault="007E12C6" w:rsidP="00381655">
      <w:pPr>
        <w:tabs>
          <w:tab w:val="left" w:pos="180"/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Obiective: </w:t>
      </w:r>
    </w:p>
    <w:p w14:paraId="4CF300E5" w14:textId="77777777" w:rsidR="007E12C6" w:rsidRPr="008F7929" w:rsidRDefault="007E12C6" w:rsidP="0038165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Persoanele aflate în risc de sărăcie (AROP)/sărăcie relativă</w:t>
      </w:r>
      <w:r w:rsidRPr="008F7929"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– venituri care se situează sub pragul de 60% din venitul median, exprimat per adult echivalent. Astfel, obiectivul este ca până în anul 2027 să se obțină reducerea numărului acestor persoane cu minim 7% față de valoarea de referință aferentă anului 2020. Concomitent cu reducerea numărului de persoane aflate în sărăcie relativă, obiectivul Strategiei este de a reduce nivelul de inegalitate a veniturilor, măsurat prin indicele Gini;</w:t>
      </w:r>
    </w:p>
    <w:p w14:paraId="21763440" w14:textId="77777777" w:rsidR="007E12C6" w:rsidRPr="008F7929" w:rsidRDefault="007E12C6" w:rsidP="0038165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Persoanele aflate în deprivare materială severă (DMS)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În anul 2018, aproximativ 3.2 milioane de persoane se aflau în DMS, însă având în vedere trendul de scădere (în anul 2007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lastRenderedPageBreak/>
        <w:t xml:space="preserve">aproximativ 8 milioane de persoane se aflau în DMS, iar în 2016 aproximativ 4.7 milioane)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 xml:space="preserve">obiectivul este ca până în anul 2027 să se obțină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reducerea numărului acestor persoane cu cel puțin 20% față de valoarea de referință aferentă anului 2020;</w:t>
      </w:r>
    </w:p>
    <w:p w14:paraId="4EBF33AC" w14:textId="77777777" w:rsidR="007E12C6" w:rsidRPr="008F7929" w:rsidRDefault="007E12C6" w:rsidP="0038165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Persoane care locuiesc în gospodării cu intensitate scăzută a muncii (ISM).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În anul 2018 aproximativ 1,1 milioane de persoane locuiau în gospodării ISM, obiectivul pentru 2027 fiind reducerea numărului acestor persoane cu cel puțin 20% față de valoarea de referință aferentă anului 2020.</w:t>
      </w:r>
    </w:p>
    <w:p w14:paraId="182E1EB6" w14:textId="77777777" w:rsidR="007E12C6" w:rsidRPr="008F7929" w:rsidRDefault="007E12C6" w:rsidP="0038165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Persoane care sunt considerate ca aparținând unor grupuri vulnerabile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copii și tineri aflați în perioada de pregătire a reintegrării în societate după o perioadă de protecție specială (inclusiv lipsiți de sprijin parental); persoane vârstnice (singure sau dependente și/sau cu nevoi de îngrijire de lungă durată); persoane cu dizabilități (copii și adulți); persoane cu un nivel scăzut de școlaritate; persoane care locuiesc în zone urbane sau rurale marginalizate; șomeri de lungă durată; persoane de etnie romă care sunt victime directe sau indirecte ale unor discriminări pe criterii etnice; persoane fără adăpost; persoane lipsite de libertate; persoane liberate, aflate în perioada de reintegrare socială; imigranți aflați în situație de vulnerabilitate, inclusiv solicitanți de azil și străini care au dobândit o formă de protecție internațională în România; persoane victime ale traficului de ființe umane; persoane consumatoare de droguri etc. </w:t>
      </w:r>
    </w:p>
    <w:p w14:paraId="3C5CDBB2" w14:textId="77777777" w:rsidR="007E12C6" w:rsidRPr="008F7929" w:rsidRDefault="007E12C6" w:rsidP="0038165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Persoane care din cauza unor circumstanțe neprevăzute se confruntă cu situații tranzitorii de sărăcie monetară</w:t>
      </w:r>
      <w:r w:rsidRPr="008F7929"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(generate în principal de lipsa veniturilor)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sau excluziune socială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.</w:t>
      </w:r>
    </w:p>
    <w:p w14:paraId="5165229D" w14:textId="77777777" w:rsidR="007E12C6" w:rsidRPr="008F7929" w:rsidRDefault="007E12C6" w:rsidP="00381655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</w:pPr>
    </w:p>
    <w:p w14:paraId="2FEDD0E8" w14:textId="3EE05477" w:rsidR="007E12C6" w:rsidRPr="008F7929" w:rsidRDefault="007E12C6" w:rsidP="003816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3.2.</w:t>
      </w:r>
      <w:r w:rsidR="0068088B"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  <w:t xml:space="preserve">Strategia naţională privind drepturile persoanelor cu dizabilităţi „ O Românie echitabilă” 2022 – 2027,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aprobată prin Hotărârea Guvernului nr. 490/2022, cu următoarele direcții de acțiune/obiective:</w:t>
      </w:r>
    </w:p>
    <w:p w14:paraId="51740F06" w14:textId="77777777" w:rsidR="007E12C6" w:rsidRPr="008F7929" w:rsidRDefault="007E12C6" w:rsidP="00381655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Obiectivul general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al Strategiei este: Asigurarea participării depline şi efective a persoanelor cu dizabilităţi, bazată pe libertatea de decizie, în toate domeniile vieţii într-un mediu accesibil şi rezilient.</w:t>
      </w:r>
    </w:p>
    <w:p w14:paraId="6C71429A" w14:textId="2A488D06" w:rsidR="007E12C6" w:rsidRPr="008F7929" w:rsidRDefault="007E12C6" w:rsidP="00381655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Accesibilitate şi mobilitate</w:t>
      </w:r>
      <w:r w:rsidR="00486403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 xml:space="preserve"> -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are ca obiectiv general: Asigurarea accesului fizic, informaţional şi comunicaţional al persoanelor cu dizabilităţi la produsele, serviciile şi programele pe care societatea le pune la dispoziţie membrilor săi.</w:t>
      </w:r>
    </w:p>
    <w:p w14:paraId="5014FD96" w14:textId="6DBEF2F5" w:rsidR="007E12C6" w:rsidRPr="008F7929" w:rsidRDefault="007E12C6" w:rsidP="00381655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Protecţia efectivă a drepturilor persoanelor cu dizabilităţi</w:t>
      </w:r>
      <w:r w:rsidR="00486403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 xml:space="preserve"> -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are ca obiectiv general: Recunoaşterea egală în faţa legii a persoanelor cu dizabilităţi pentru exercitarea tuturor drepturilor fundamentale, inclusiv de a lua decizii în toate aspectele vieţii lor.</w:t>
      </w:r>
    </w:p>
    <w:p w14:paraId="50515635" w14:textId="0C7FFBA0" w:rsidR="007E12C6" w:rsidRPr="008F7929" w:rsidRDefault="007E12C6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Protecţie socială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, inclusiv abilitare/reabilitare</w:t>
      </w:r>
      <w:r w:rsidR="00486403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-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are ca obiectiv general: Asigurarea unui standard de viaţă adecvat pentru persoanele cu dizabilităţi cu şanse egale cu toate celelalte persoane.</w:t>
      </w:r>
    </w:p>
    <w:p w14:paraId="5B650C9D" w14:textId="77777777" w:rsidR="007E12C6" w:rsidRPr="008F7929" w:rsidRDefault="007E12C6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Viaţa independentă şi integrare în comunitate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, inclusiv accesul la servicii publice are ca obiectiv general: Asigurarea vieţii independente pentru persoanele cu dizabilităţi, drept fundamental al omului, esenţială pentru dezvoltarea identitătii personale şi realizarea potenţialului uman.</w:t>
      </w:r>
    </w:p>
    <w:p w14:paraId="4EA1C950" w14:textId="0050B7BA" w:rsidR="007E12C6" w:rsidRPr="008F7929" w:rsidRDefault="007E12C6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Educaţie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</w:t>
      </w:r>
      <w:r w:rsidR="00486403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-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are ca obiectiv general: Accesul copiilor şi tinerilor cu dizabilităţi şi/sau cerinţe educaţionale speciale, numite în continuare CES, la o educaţie incluzivă de calitate în comunitate, în condiţii de egalitate cu ceilalţi copii şi tineri, astfel încât să işi poată atinge potenţialul maxim de dezvoltare.</w:t>
      </w:r>
    </w:p>
    <w:p w14:paraId="2FB4D994" w14:textId="33D6B16B" w:rsidR="007E12C6" w:rsidRPr="008F7929" w:rsidRDefault="007E12C6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: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Sănătate</w:t>
      </w:r>
      <w:r w:rsidR="00486403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 xml:space="preserve"> -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are ca obiectiv general: Asigurarea de servicii de sănătale de cea mai bună calitate pentru persoanele cu dizabilităţi.</w:t>
      </w:r>
    </w:p>
    <w:p w14:paraId="480BE299" w14:textId="5C8C05E1" w:rsidR="007E12C6" w:rsidRPr="008F7929" w:rsidRDefault="007E12C6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Domeniul prioritar: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i/>
          <w:iCs/>
          <w:color w:val="0D0D0D"/>
          <w:sz w:val="24"/>
          <w:szCs w:val="24"/>
          <w:lang w:val="ro-RO"/>
        </w:rPr>
        <w:t>Participare politică şi publică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 </w:t>
      </w:r>
      <w:r w:rsidR="00486403">
        <w:rPr>
          <w:rFonts w:ascii="Times New Roman" w:hAnsi="Times New Roman" w:cs="Times New Roman"/>
          <w:color w:val="0D0D0D"/>
          <w:sz w:val="24"/>
          <w:szCs w:val="24"/>
          <w:lang w:val="ro-RO"/>
        </w:rPr>
        <w:t xml:space="preserve">- </w:t>
      </w:r>
      <w:r w:rsidRPr="008F7929">
        <w:rPr>
          <w:rFonts w:ascii="Times New Roman" w:hAnsi="Times New Roman" w:cs="Times New Roman"/>
          <w:color w:val="0D0D0D"/>
          <w:sz w:val="24"/>
          <w:szCs w:val="24"/>
          <w:lang w:val="ro-RO"/>
        </w:rPr>
        <w:t>are ca obiectiv general: Asigurarea participării active a persoanelor cu dizabilităţi, ca membri deplini ai societăţii, cu drepturi egale.</w:t>
      </w:r>
    </w:p>
    <w:p w14:paraId="7C45E239" w14:textId="77777777" w:rsidR="00486403" w:rsidRDefault="00486403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95CAC52" w14:textId="5F7D4F08" w:rsidR="0068088B" w:rsidRPr="008F7929" w:rsidRDefault="0068088B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4)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Programele de interes naţional pentru dezvoltarea serviciilor sociale pentru persoanele vâ</w:t>
      </w:r>
      <w:r w:rsidR="00486403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8F7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stnice: „Servicii comunitare la domiciliu pentru persoanele vârstnice dependente”; „Servicii de acordare a hranei pentru persoanele vârstnice”; „Centre de zi de asistenţă şi recuperare pentru persoane vârstnice”; „Servicii sociale de asistenţă comunitară pentru persoane vârstnice”,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aprobate prin Hotărârea Guvernului nr. 435/2022.</w:t>
      </w:r>
      <w:r w:rsidR="000E0B6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0E0B6D" w:rsidRPr="000E0B6D">
        <w:rPr>
          <w:rFonts w:ascii="Times New Roman" w:hAnsi="Times New Roman" w:cs="Times New Roman"/>
          <w:i/>
          <w:iCs/>
          <w:sz w:val="24"/>
          <w:szCs w:val="24"/>
          <w:lang w:val="ro-RO"/>
        </w:rPr>
        <w:t>nu este cazul</w:t>
      </w:r>
      <w:r w:rsidR="000E0B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E15BE96" w14:textId="77777777" w:rsidR="00C66AE2" w:rsidRPr="008F7929" w:rsidRDefault="00C66AE2" w:rsidP="0038165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26395D" w14:textId="3C96BEF4" w:rsidR="00C66AE2" w:rsidRDefault="00C66AE2" w:rsidP="0038165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5)  Protocoale de colaborare:</w:t>
      </w:r>
    </w:p>
    <w:p w14:paraId="6BD2F6AB" w14:textId="77777777" w:rsidR="00051CD5" w:rsidRDefault="00051CD5" w:rsidP="00051CD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5.1  Acord de parteneriat pentru Educație nr. 3 din 15.01.2025 încheiat în data de 05.02.2025 între Parohia Moldoveni 1 și Primăria Moldoveni având ca obiectiv colaborarea dintre cele două instituții în vederea organizării și desfășurării activităților extra-curriculare cuprinse în cadrul concursului local „Patriarhia Română în sărbătoare – un secol de istorie” din cadrul Concursului Național Catehetic „Mărturisirea jertfelnică a dreptei credințe – moștenirea unui secol de Patriarhat pentru copii și tineri”.</w:t>
      </w:r>
    </w:p>
    <w:p w14:paraId="27B1B70E" w14:textId="77777777" w:rsidR="00244A9D" w:rsidRDefault="00244A9D" w:rsidP="00051CD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686EA9E8" w14:textId="69387869" w:rsidR="007D7C3E" w:rsidRDefault="00051CD5" w:rsidP="003816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5.2  Plan local comun de acțiune pentru creșterea gradului de siguranță a elevilor și a personalului didactic și prevenirea delincvenței juvenile în incinta și în zona adiacentă </w:t>
      </w:r>
      <w:r w:rsidR="00244A9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-Inspectoratul de Poliție al județului Neamț Nr.1024359/31.08.2025, Primăria Comunei Moldoveni Nr.2966/01.09.2025 , Școala Generală Moldoveni Nr.1219/01.09.2025.</w:t>
      </w:r>
    </w:p>
    <w:p w14:paraId="0B97CC15" w14:textId="77777777" w:rsidR="00244A9D" w:rsidRDefault="00244A9D" w:rsidP="003816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4CD74895" w14:textId="77777777" w:rsidR="00E06E3C" w:rsidRPr="008F7929" w:rsidRDefault="00E06E3C" w:rsidP="003816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AE2277" w14:textId="4062A076" w:rsidR="00960BDB" w:rsidRDefault="00380D38" w:rsidP="001B33AD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F7929">
        <w:rPr>
          <w:rFonts w:ascii="Times New Roman" w:eastAsia="Calibri" w:hAnsi="Times New Roman" w:cs="Times New Roman"/>
          <w:b/>
          <w:sz w:val="24"/>
          <w:szCs w:val="24"/>
          <w:lang w:val="ro-RO"/>
        </w:rPr>
        <w:t>6) Procesul verbal/minuta consultării în vederea elaborării Planului anual de actiune privind serviciile sociale, organizată  cu furnizorii publici și privați/asociații</w:t>
      </w:r>
      <w:r w:rsidRPr="008F79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profesionale și a organizații reprezentative ale beneficiarilor - </w:t>
      </w:r>
      <w:r w:rsidRPr="00477466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nu este cazul</w:t>
      </w:r>
    </w:p>
    <w:p w14:paraId="0463C5CB" w14:textId="77777777" w:rsidR="001B33AD" w:rsidRPr="001B33AD" w:rsidRDefault="001B33AD" w:rsidP="001B33AD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15BCCC51" w14:textId="77777777" w:rsidR="00960BDB" w:rsidRDefault="00960BDB" w:rsidP="0048640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A0E1E2" w14:textId="5E89F523" w:rsidR="00513FC9" w:rsidRPr="00486403" w:rsidRDefault="00513FC9" w:rsidP="00486403">
      <w:pPr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Planul anual de acțiune privind serviciile sociale administrate şi finanţate din bugetul </w:t>
      </w:r>
      <w:r w:rsidR="00486403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omunei</w:t>
      </w:r>
      <w:r w:rsidR="00AA23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Moldoveni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cuprinde:</w:t>
      </w:r>
    </w:p>
    <w:p w14:paraId="44067E3B" w14:textId="77777777" w:rsidR="00513FC9" w:rsidRPr="008F7929" w:rsidRDefault="00513FC9" w:rsidP="00381655">
      <w:pPr>
        <w:ind w:firstLine="360"/>
        <w:rPr>
          <w:rFonts w:ascii="Times New Roman" w:hAnsi="Times New Roman" w:cs="Times New Roman"/>
          <w:lang w:val="ro-RO"/>
        </w:rPr>
      </w:pPr>
      <w:r w:rsidRPr="008F7929">
        <w:rPr>
          <w:rFonts w:ascii="Times New Roman" w:hAnsi="Times New Roman" w:cs="Times New Roman"/>
          <w:lang w:val="ro-RO"/>
        </w:rPr>
        <w:t xml:space="preserve">1.  Date privind administrarea, înființarea și finanțarea serviciilor sociale – Capitolul I; </w:t>
      </w:r>
    </w:p>
    <w:p w14:paraId="48258343" w14:textId="77777777" w:rsidR="00513FC9" w:rsidRPr="008F7929" w:rsidRDefault="00513FC9" w:rsidP="00381655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2. Planificarea activităţilor de informare a publicului cu privire la serviciile sociale existente la nivel local/județean – Capitolul II;</w:t>
      </w:r>
    </w:p>
    <w:p w14:paraId="29EDB24C" w14:textId="71EABE09" w:rsidR="00D70A2A" w:rsidRPr="008F7929" w:rsidRDefault="00513FC9" w:rsidP="00DC5F8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3. Programul de formare şi îndrumare metodologică a personalului care lucrează în domeniul serviciilor sociale – Capitolul III.</w:t>
      </w:r>
    </w:p>
    <w:p w14:paraId="0E40C366" w14:textId="77777777" w:rsidR="00DC5F83" w:rsidRPr="008F7929" w:rsidRDefault="00DC5F83" w:rsidP="003816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091125" w14:textId="77777777" w:rsidR="00173F21" w:rsidRPr="008F7929" w:rsidRDefault="00173F21" w:rsidP="003816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2E73E2" w14:textId="2B30CEAE" w:rsidR="00513FC9" w:rsidRDefault="00554F15" w:rsidP="0048640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486403">
        <w:rPr>
          <w:rFonts w:ascii="Times New Roman" w:hAnsi="Times New Roman" w:cs="Times New Roman"/>
          <w:b/>
          <w:sz w:val="24"/>
          <w:szCs w:val="24"/>
          <w:lang w:val="ro-RO"/>
        </w:rPr>
        <w:t>APITOLUL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4864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513FC9" w:rsidRPr="008F7929">
        <w:rPr>
          <w:rFonts w:ascii="Times New Roman" w:hAnsi="Times New Roman" w:cs="Times New Roman"/>
          <w:b/>
          <w:sz w:val="24"/>
          <w:szCs w:val="24"/>
          <w:lang w:val="ro-RO"/>
        </w:rPr>
        <w:t>Administrarea, înființarea și finanțarea serviciilor sociale</w:t>
      </w:r>
    </w:p>
    <w:p w14:paraId="60F1309A" w14:textId="77777777" w:rsidR="00486403" w:rsidRPr="008F7929" w:rsidRDefault="00486403" w:rsidP="0048640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2099D7" w14:textId="77777777" w:rsidR="00513FC9" w:rsidRPr="00486403" w:rsidRDefault="00513FC9" w:rsidP="00381655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48640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Serviciile sociale existente la nivel lo</w:t>
      </w:r>
      <w:r w:rsidR="00B54633" w:rsidRPr="0048640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cal</w:t>
      </w:r>
      <w:r w:rsidR="00C741D0" w:rsidRPr="00486403">
        <w:rPr>
          <w:rFonts w:ascii="Calibri" w:hAnsi="Calibri" w:cs="Calibri"/>
          <w:b/>
          <w:i/>
          <w:iCs/>
          <w:sz w:val="24"/>
          <w:szCs w:val="24"/>
          <w:lang w:val="ro-RO"/>
        </w:rPr>
        <w:t>:</w:t>
      </w:r>
    </w:p>
    <w:p w14:paraId="54BAA6CB" w14:textId="77777777" w:rsidR="002A45D3" w:rsidRPr="008F7929" w:rsidRDefault="002A45D3" w:rsidP="0038165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91"/>
        <w:gridCol w:w="1628"/>
        <w:gridCol w:w="850"/>
        <w:gridCol w:w="851"/>
        <w:gridCol w:w="850"/>
        <w:gridCol w:w="851"/>
        <w:gridCol w:w="992"/>
        <w:gridCol w:w="851"/>
        <w:gridCol w:w="708"/>
      </w:tblGrid>
      <w:tr w:rsidR="00DD1F18" w:rsidRPr="008F7929" w14:paraId="5C8FEFE3" w14:textId="77777777" w:rsidTr="00486403">
        <w:trPr>
          <w:trHeight w:val="762"/>
        </w:trPr>
        <w:tc>
          <w:tcPr>
            <w:tcW w:w="567" w:type="dxa"/>
            <w:vMerge w:val="restart"/>
          </w:tcPr>
          <w:p w14:paraId="179DA3D9" w14:textId="4E4A43CF" w:rsidR="00DD1F18" w:rsidRPr="008F7929" w:rsidRDefault="00DD1F18" w:rsidP="004864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</w:t>
            </w:r>
          </w:p>
          <w:p w14:paraId="15A3771A" w14:textId="4A071E5A" w:rsidR="00DD1F18" w:rsidRPr="008F7929" w:rsidRDefault="00486403" w:rsidP="004864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</w:t>
            </w:r>
            <w:r w:rsidR="00DD1F18"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rt</w:t>
            </w:r>
          </w:p>
        </w:tc>
        <w:tc>
          <w:tcPr>
            <w:tcW w:w="1491" w:type="dxa"/>
            <w:vMerge w:val="restart"/>
          </w:tcPr>
          <w:p w14:paraId="3B1CEDEC" w14:textId="2214FD28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Cod serviciu</w:t>
            </w:r>
            <w:r w:rsidR="0048640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social</w:t>
            </w:r>
            <w:r w:rsidR="0048640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</w:t>
            </w:r>
            <w:r w:rsidR="0048640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conform Nomenclatorului serviciilor sociale</w:t>
            </w:r>
          </w:p>
        </w:tc>
        <w:tc>
          <w:tcPr>
            <w:tcW w:w="1628" w:type="dxa"/>
            <w:vMerge w:val="restart"/>
          </w:tcPr>
          <w:p w14:paraId="5FE04987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serviciului social</w:t>
            </w:r>
          </w:p>
        </w:tc>
        <w:tc>
          <w:tcPr>
            <w:tcW w:w="850" w:type="dxa"/>
            <w:vMerge w:val="restart"/>
          </w:tcPr>
          <w:p w14:paraId="3A71B53B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Capacitatea</w:t>
            </w:r>
          </w:p>
        </w:tc>
        <w:tc>
          <w:tcPr>
            <w:tcW w:w="851" w:type="dxa"/>
            <w:vMerge w:val="restart"/>
          </w:tcPr>
          <w:p w14:paraId="37427592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Grad de ocupare</w:t>
            </w:r>
          </w:p>
        </w:tc>
        <w:tc>
          <w:tcPr>
            <w:tcW w:w="4252" w:type="dxa"/>
            <w:gridSpan w:val="5"/>
          </w:tcPr>
          <w:p w14:paraId="3D871661" w14:textId="77777777" w:rsidR="00486403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Bugetele estimate pe surse de finantare,</w:t>
            </w:r>
          </w:p>
          <w:p w14:paraId="0BA5336A" w14:textId="1A40A859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pentru serviciile sociale existente</w:t>
            </w:r>
          </w:p>
          <w:p w14:paraId="5BB22706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F54F2" w:rsidRPr="008F7929" w14:paraId="0F110FE7" w14:textId="77777777" w:rsidTr="00486403">
        <w:trPr>
          <w:trHeight w:val="154"/>
        </w:trPr>
        <w:tc>
          <w:tcPr>
            <w:tcW w:w="567" w:type="dxa"/>
            <w:vMerge/>
          </w:tcPr>
          <w:p w14:paraId="18F2C816" w14:textId="77777777" w:rsidR="00DD1F18" w:rsidRPr="008F7929" w:rsidRDefault="00DD1F18" w:rsidP="00381655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91" w:type="dxa"/>
            <w:vMerge/>
          </w:tcPr>
          <w:p w14:paraId="34F2A7B2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28" w:type="dxa"/>
            <w:vMerge/>
          </w:tcPr>
          <w:p w14:paraId="5C1817E0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</w:tcPr>
          <w:p w14:paraId="2358DFC4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Merge/>
          </w:tcPr>
          <w:p w14:paraId="238D318E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14:paraId="7AB2D5C5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 local</w:t>
            </w:r>
          </w:p>
        </w:tc>
        <w:tc>
          <w:tcPr>
            <w:tcW w:w="851" w:type="dxa"/>
          </w:tcPr>
          <w:p w14:paraId="39BFE7D2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 județean</w:t>
            </w:r>
          </w:p>
        </w:tc>
        <w:tc>
          <w:tcPr>
            <w:tcW w:w="992" w:type="dxa"/>
          </w:tcPr>
          <w:p w14:paraId="122D2381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Buget de stat</w:t>
            </w:r>
          </w:p>
        </w:tc>
        <w:tc>
          <w:tcPr>
            <w:tcW w:w="851" w:type="dxa"/>
          </w:tcPr>
          <w:p w14:paraId="783F96BB" w14:textId="77777777" w:rsidR="00486403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Contr</w:t>
            </w:r>
            <w:r w:rsidR="0048640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</w:t>
            </w:r>
          </w:p>
          <w:p w14:paraId="51778A34" w14:textId="77777777" w:rsidR="00486403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buții persoa</w:t>
            </w:r>
          </w:p>
          <w:p w14:paraId="68B7D8E3" w14:textId="3A866904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ne beneficiare</w:t>
            </w:r>
          </w:p>
        </w:tc>
        <w:tc>
          <w:tcPr>
            <w:tcW w:w="708" w:type="dxa"/>
          </w:tcPr>
          <w:p w14:paraId="7008722D" w14:textId="77777777" w:rsidR="00DD1F18" w:rsidRPr="008F7929" w:rsidRDefault="00DD1F18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Alte surse</w:t>
            </w:r>
          </w:p>
        </w:tc>
      </w:tr>
      <w:tr w:rsidR="00CF54F2" w:rsidRPr="008F7929" w14:paraId="0F5E7A07" w14:textId="77777777" w:rsidTr="00486403">
        <w:trPr>
          <w:trHeight w:val="759"/>
        </w:trPr>
        <w:tc>
          <w:tcPr>
            <w:tcW w:w="567" w:type="dxa"/>
          </w:tcPr>
          <w:p w14:paraId="1C9BC598" w14:textId="66C42040" w:rsidR="00B54633" w:rsidRPr="008F7929" w:rsidRDefault="00926559" w:rsidP="00381655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1491" w:type="dxa"/>
          </w:tcPr>
          <w:p w14:paraId="1EF8264C" w14:textId="52AF0CDB" w:rsidR="00B54633" w:rsidRPr="008F7929" w:rsidRDefault="00524148" w:rsidP="00AF459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2414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8810 ID IV</w:t>
            </w:r>
          </w:p>
        </w:tc>
        <w:tc>
          <w:tcPr>
            <w:tcW w:w="1628" w:type="dxa"/>
          </w:tcPr>
          <w:p w14:paraId="66AAFCD1" w14:textId="44F71CBE" w:rsidR="00B54633" w:rsidRPr="008F7929" w:rsidRDefault="009A3AE5" w:rsidP="0012173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Servicii ale asistentului personal pentru persoana cu handicap grav</w:t>
            </w:r>
          </w:p>
        </w:tc>
        <w:tc>
          <w:tcPr>
            <w:tcW w:w="850" w:type="dxa"/>
          </w:tcPr>
          <w:p w14:paraId="48B1BE0F" w14:textId="7764F8D2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851" w:type="dxa"/>
          </w:tcPr>
          <w:p w14:paraId="65D52102" w14:textId="33431AA7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850" w:type="dxa"/>
          </w:tcPr>
          <w:p w14:paraId="3C604895" w14:textId="4DB6A942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72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60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  <w:r w:rsidR="00D60B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851" w:type="dxa"/>
          </w:tcPr>
          <w:p w14:paraId="54CD4376" w14:textId="6B098812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992" w:type="dxa"/>
          </w:tcPr>
          <w:p w14:paraId="61A1DCB5" w14:textId="47E660E0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551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  <w:r w:rsidR="00D60B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00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  <w:r w:rsidR="00D60B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851" w:type="dxa"/>
          </w:tcPr>
          <w:p w14:paraId="199CF99A" w14:textId="49B139D9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708" w:type="dxa"/>
          </w:tcPr>
          <w:p w14:paraId="3620475D" w14:textId="72C78885" w:rsidR="00B54633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  <w:tr w:rsidR="00926559" w:rsidRPr="008F7929" w14:paraId="772410AD" w14:textId="77777777" w:rsidTr="00486403">
        <w:trPr>
          <w:trHeight w:val="759"/>
        </w:trPr>
        <w:tc>
          <w:tcPr>
            <w:tcW w:w="567" w:type="dxa"/>
          </w:tcPr>
          <w:p w14:paraId="195D8D4A" w14:textId="6E02936E" w:rsidR="00926559" w:rsidRDefault="00926559" w:rsidP="00381655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1491" w:type="dxa"/>
          </w:tcPr>
          <w:p w14:paraId="350216EA" w14:textId="693BAC6C" w:rsidR="00926559" w:rsidRDefault="009A3AE5" w:rsidP="00AF459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A3AE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8899 CZ-PN-V</w:t>
            </w:r>
          </w:p>
        </w:tc>
        <w:tc>
          <w:tcPr>
            <w:tcW w:w="1628" w:type="dxa"/>
          </w:tcPr>
          <w:p w14:paraId="2C35F057" w14:textId="05EB34AD" w:rsidR="00926559" w:rsidRDefault="009A3AE5" w:rsidP="0012173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Servicii de asistență medicală comunitară</w:t>
            </w:r>
          </w:p>
        </w:tc>
        <w:tc>
          <w:tcPr>
            <w:tcW w:w="850" w:type="dxa"/>
          </w:tcPr>
          <w:p w14:paraId="2C521193" w14:textId="1EF1F402" w:rsidR="0092655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851" w:type="dxa"/>
          </w:tcPr>
          <w:p w14:paraId="6378F151" w14:textId="432ABC54" w:rsidR="0092655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850" w:type="dxa"/>
          </w:tcPr>
          <w:p w14:paraId="31CEA41E" w14:textId="5987C6EB" w:rsidR="0092655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851" w:type="dxa"/>
          </w:tcPr>
          <w:p w14:paraId="5F7AD7C2" w14:textId="48E70E7F" w:rsidR="00926559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992" w:type="dxa"/>
          </w:tcPr>
          <w:p w14:paraId="06B4048C" w14:textId="0D663C85" w:rsidR="0092655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96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80</w:t>
            </w:r>
            <w:r w:rsidR="00C817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  <w:r w:rsidR="00D60B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851" w:type="dxa"/>
          </w:tcPr>
          <w:p w14:paraId="431F24E2" w14:textId="2D54F42E" w:rsidR="00926559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708" w:type="dxa"/>
          </w:tcPr>
          <w:p w14:paraId="1CD6CA85" w14:textId="2F2852E4" w:rsidR="00926559" w:rsidRPr="008F7929" w:rsidRDefault="00926559" w:rsidP="003816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367C1DB5" w14:textId="77777777" w:rsidR="00B54633" w:rsidRPr="008F7929" w:rsidRDefault="00B54633" w:rsidP="00381655">
      <w:pPr>
        <w:pStyle w:val="NoSpacing"/>
        <w:ind w:left="72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528C8750" w14:textId="77777777" w:rsidR="00513FC9" w:rsidRDefault="00513FC9" w:rsidP="00381655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76BE6543" w14:textId="77777777" w:rsidR="001B33AD" w:rsidRPr="008F7929" w:rsidRDefault="001B33AD" w:rsidP="00381655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742FEABD" w14:textId="77777777" w:rsidR="00513FC9" w:rsidRPr="00486403" w:rsidRDefault="00513FC9" w:rsidP="003816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8640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Servicii sociale propuse spre a fi înfiinţate:</w:t>
      </w:r>
    </w:p>
    <w:p w14:paraId="6D4D5D54" w14:textId="77777777" w:rsidR="00513FC9" w:rsidRPr="008F7929" w:rsidRDefault="00513FC9" w:rsidP="00381655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988"/>
        <w:gridCol w:w="992"/>
        <w:gridCol w:w="992"/>
        <w:gridCol w:w="992"/>
        <w:gridCol w:w="993"/>
        <w:gridCol w:w="708"/>
        <w:gridCol w:w="709"/>
        <w:gridCol w:w="709"/>
        <w:gridCol w:w="709"/>
        <w:gridCol w:w="567"/>
        <w:gridCol w:w="557"/>
      </w:tblGrid>
      <w:tr w:rsidR="00477466" w:rsidRPr="008F7929" w14:paraId="5D2AEFEB" w14:textId="77777777" w:rsidTr="008F2EDD">
        <w:trPr>
          <w:trHeight w:val="590"/>
          <w:jc w:val="center"/>
        </w:trPr>
        <w:tc>
          <w:tcPr>
            <w:tcW w:w="855" w:type="dxa"/>
            <w:vMerge w:val="restart"/>
          </w:tcPr>
          <w:p w14:paraId="4C024558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Denumire serviciu 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social propus</w:t>
            </w:r>
          </w:p>
        </w:tc>
        <w:tc>
          <w:tcPr>
            <w:tcW w:w="988" w:type="dxa"/>
            <w:vMerge w:val="restart"/>
          </w:tcPr>
          <w:p w14:paraId="0E2B151E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Cod serviciu social</w:t>
            </w:r>
          </w:p>
        </w:tc>
        <w:tc>
          <w:tcPr>
            <w:tcW w:w="992" w:type="dxa"/>
            <w:vMerge w:val="restart"/>
          </w:tcPr>
          <w:p w14:paraId="25D5D2B4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Categorie beneficiari</w:t>
            </w:r>
          </w:p>
        </w:tc>
        <w:tc>
          <w:tcPr>
            <w:tcW w:w="992" w:type="dxa"/>
            <w:vMerge w:val="restart"/>
          </w:tcPr>
          <w:p w14:paraId="1700FCB7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Capacitate necesară</w:t>
            </w:r>
          </w:p>
        </w:tc>
        <w:tc>
          <w:tcPr>
            <w:tcW w:w="992" w:type="dxa"/>
            <w:vMerge w:val="restart"/>
          </w:tcPr>
          <w:p w14:paraId="5D35BAE4" w14:textId="77777777" w:rsidR="00477466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Capacitate clădire/</w:t>
            </w:r>
          </w:p>
          <w:p w14:paraId="1BEBAA3C" w14:textId="41CFD546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spațiu necesar</w:t>
            </w:r>
          </w:p>
          <w:p w14:paraId="3AEE8AA7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-mp-</w:t>
            </w:r>
          </w:p>
        </w:tc>
        <w:tc>
          <w:tcPr>
            <w:tcW w:w="993" w:type="dxa"/>
            <w:vMerge w:val="restart"/>
          </w:tcPr>
          <w:p w14:paraId="6C49EDC0" w14:textId="55EF3FEE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Resurse umane nec</w:t>
            </w:r>
            <w:r w:rsidR="000C05B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sare 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(p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rsonal de specialitate, de îngrijire și asistență;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personal gospodărie, întreținere-reparații, deservire</w:t>
            </w:r>
          </w:p>
        </w:tc>
        <w:tc>
          <w:tcPr>
            <w:tcW w:w="3402" w:type="dxa"/>
            <w:gridSpan w:val="5"/>
          </w:tcPr>
          <w:p w14:paraId="6B32CAB8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Bugetele estimate pe surse de finanțare, pentru serviciile sociale propuse pentru a fi înființate</w:t>
            </w:r>
            <w:r w:rsidRPr="008F7929">
              <w:rPr>
                <w:rFonts w:ascii="Calibri" w:hAnsi="Calibri" w:cs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557" w:type="dxa"/>
          </w:tcPr>
          <w:p w14:paraId="1697EB4F" w14:textId="458FD374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Justifica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</w:t>
            </w:r>
          </w:p>
        </w:tc>
      </w:tr>
      <w:tr w:rsidR="00477466" w:rsidRPr="008F7929" w14:paraId="28C3C12B" w14:textId="77777777" w:rsidTr="00477466">
        <w:trPr>
          <w:trHeight w:val="144"/>
          <w:jc w:val="center"/>
        </w:trPr>
        <w:tc>
          <w:tcPr>
            <w:tcW w:w="855" w:type="dxa"/>
            <w:vMerge/>
          </w:tcPr>
          <w:p w14:paraId="5342E961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88" w:type="dxa"/>
            <w:vMerge/>
          </w:tcPr>
          <w:p w14:paraId="4900145E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14:paraId="231A23BB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14:paraId="3CD97EA5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14:paraId="7EDC653E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vMerge/>
          </w:tcPr>
          <w:p w14:paraId="6824EB8A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8" w:type="dxa"/>
          </w:tcPr>
          <w:p w14:paraId="6B6CFC40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local</w:t>
            </w:r>
          </w:p>
        </w:tc>
        <w:tc>
          <w:tcPr>
            <w:tcW w:w="709" w:type="dxa"/>
          </w:tcPr>
          <w:p w14:paraId="04D3277B" w14:textId="77777777" w:rsidR="00477466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jude</w:t>
            </w:r>
          </w:p>
          <w:p w14:paraId="4F160B66" w14:textId="60CBC861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țean</w:t>
            </w:r>
          </w:p>
        </w:tc>
        <w:tc>
          <w:tcPr>
            <w:tcW w:w="709" w:type="dxa"/>
          </w:tcPr>
          <w:p w14:paraId="1BC0347A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709" w:type="dxa"/>
          </w:tcPr>
          <w:p w14:paraId="61CB2633" w14:textId="77777777" w:rsidR="008F2EDD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Contri</w:t>
            </w:r>
          </w:p>
          <w:p w14:paraId="1EAC2BD3" w14:textId="77777777" w:rsidR="008F2EDD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buții persoane benefi</w:t>
            </w:r>
          </w:p>
          <w:p w14:paraId="37A9FFCB" w14:textId="49856CCF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ciare</w:t>
            </w:r>
          </w:p>
        </w:tc>
        <w:tc>
          <w:tcPr>
            <w:tcW w:w="567" w:type="dxa"/>
          </w:tcPr>
          <w:p w14:paraId="0FC6CF90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Alte surse</w:t>
            </w:r>
          </w:p>
        </w:tc>
        <w:tc>
          <w:tcPr>
            <w:tcW w:w="557" w:type="dxa"/>
          </w:tcPr>
          <w:p w14:paraId="59157F5C" w14:textId="77777777" w:rsidR="00477466" w:rsidRPr="008F7929" w:rsidRDefault="00477466" w:rsidP="00381655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77466" w:rsidRPr="008F7929" w14:paraId="7A2B7EDB" w14:textId="77777777" w:rsidTr="00477466">
        <w:trPr>
          <w:trHeight w:val="144"/>
          <w:jc w:val="center"/>
        </w:trPr>
        <w:tc>
          <w:tcPr>
            <w:tcW w:w="855" w:type="dxa"/>
            <w:vAlign w:val="center"/>
          </w:tcPr>
          <w:p w14:paraId="53B73C14" w14:textId="77777777" w:rsidR="00477466" w:rsidRDefault="0049084A" w:rsidP="00486403">
            <w:pP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Centru de informare și sensibi</w:t>
            </w:r>
          </w:p>
          <w:p w14:paraId="13B965E0" w14:textId="77777777" w:rsidR="00477466" w:rsidRDefault="0049084A" w:rsidP="00486403">
            <w:pP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lizare a popula</w:t>
            </w:r>
          </w:p>
          <w:p w14:paraId="78D652CD" w14:textId="3788BCA2" w:rsidR="0049084A" w:rsidRPr="008F7929" w:rsidRDefault="0049084A" w:rsidP="0048640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tiei</w:t>
            </w:r>
          </w:p>
        </w:tc>
        <w:tc>
          <w:tcPr>
            <w:tcW w:w="988" w:type="dxa"/>
          </w:tcPr>
          <w:p w14:paraId="51338DEA" w14:textId="14C56D62" w:rsidR="0049084A" w:rsidRPr="008F7929" w:rsidRDefault="0049084A" w:rsidP="0048640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8899 CZ-VD-II</w:t>
            </w:r>
          </w:p>
        </w:tc>
        <w:tc>
          <w:tcPr>
            <w:tcW w:w="992" w:type="dxa"/>
          </w:tcPr>
          <w:p w14:paraId="11B0ECCD" w14:textId="77777777" w:rsidR="00477466" w:rsidRDefault="0049084A" w:rsidP="00486403">
            <w:pP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Persoane victime ale violenței domesti</w:t>
            </w:r>
          </w:p>
          <w:p w14:paraId="41D82532" w14:textId="4A85FFBE" w:rsidR="0049084A" w:rsidRPr="008F7929" w:rsidRDefault="0049084A" w:rsidP="0048640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ce</w:t>
            </w:r>
          </w:p>
        </w:tc>
        <w:tc>
          <w:tcPr>
            <w:tcW w:w="992" w:type="dxa"/>
          </w:tcPr>
          <w:p w14:paraId="01F8CC1C" w14:textId="77777777" w:rsidR="00477466" w:rsidRDefault="0049084A" w:rsidP="00486403">
            <w:pP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În functie de nr. de cazuri de violență domesti</w:t>
            </w:r>
          </w:p>
          <w:p w14:paraId="1C17CB2E" w14:textId="3A87ACB1" w:rsidR="0049084A" w:rsidRPr="008F7929" w:rsidRDefault="0049084A" w:rsidP="0048640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ro-RO"/>
              </w:rPr>
              <w:t>că</w:t>
            </w:r>
          </w:p>
        </w:tc>
        <w:tc>
          <w:tcPr>
            <w:tcW w:w="992" w:type="dxa"/>
          </w:tcPr>
          <w:p w14:paraId="57DA5949" w14:textId="6358B136" w:rsidR="0049084A" w:rsidRPr="008F7929" w:rsidRDefault="00767655" w:rsidP="0048640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993" w:type="dxa"/>
          </w:tcPr>
          <w:p w14:paraId="6EA01A7C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708" w:type="dxa"/>
          </w:tcPr>
          <w:p w14:paraId="08D108B4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0F250681" w14:textId="7A7C2CD6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*</w:t>
            </w:r>
          </w:p>
        </w:tc>
        <w:tc>
          <w:tcPr>
            <w:tcW w:w="709" w:type="dxa"/>
          </w:tcPr>
          <w:p w14:paraId="6B279492" w14:textId="77777777" w:rsidR="00F7548A" w:rsidRPr="008F7929" w:rsidRDefault="00F7548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A77354B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14:paraId="687B8672" w14:textId="77777777" w:rsidR="00F7548A" w:rsidRPr="008F7929" w:rsidRDefault="00F7548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A443B16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14:paraId="65E1A259" w14:textId="77777777" w:rsidR="00F7548A" w:rsidRPr="008F7929" w:rsidRDefault="00F7548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569BA7B6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567" w:type="dxa"/>
          </w:tcPr>
          <w:p w14:paraId="1C1E0F7E" w14:textId="77777777" w:rsidR="00F7548A" w:rsidRPr="008F7929" w:rsidRDefault="00F7548A" w:rsidP="003816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C7DE076" w14:textId="1669A782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57" w:type="dxa"/>
          </w:tcPr>
          <w:p w14:paraId="48452279" w14:textId="77777777" w:rsidR="00F7548A" w:rsidRPr="008F7929" w:rsidRDefault="00F7548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418E58E" w14:textId="77777777" w:rsidR="0049084A" w:rsidRPr="008F7929" w:rsidRDefault="0049084A" w:rsidP="003816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</w:tr>
    </w:tbl>
    <w:p w14:paraId="71AE8494" w14:textId="6AB59076" w:rsidR="008664F9" w:rsidRPr="008F7929" w:rsidRDefault="00E41A63" w:rsidP="0038165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*nu sunt necesare fonduri întrucât activitățile sunt realizate de către personalul din cadrul Compartimentului de Asistență Socială și Protecția Copilului al Primăriei Comunei </w:t>
      </w:r>
      <w:r w:rsidR="008D4822">
        <w:rPr>
          <w:rFonts w:ascii="Times New Roman" w:hAnsi="Times New Roman" w:cs="Times New Roman"/>
          <w:i/>
          <w:iCs/>
          <w:sz w:val="24"/>
          <w:szCs w:val="24"/>
          <w:lang w:val="ro-RO"/>
        </w:rPr>
        <w:t>Moldoveni</w:t>
      </w:r>
    </w:p>
    <w:p w14:paraId="4F2106B2" w14:textId="77777777" w:rsidR="008664F9" w:rsidRPr="008F7929" w:rsidRDefault="008664F9" w:rsidP="003816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0AA7EA" w14:textId="2177A893" w:rsidR="00513FC9" w:rsidRDefault="00513FC9" w:rsidP="0038165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Programul anual de contractare a serviciilor sociale din fonduri publice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, în baza prevederilor Legii asistenţei sociale nr. 292/2011, cu modificările și completările ulterioare, pentru realizarea obiectivului operațional/direcției de acţiune prev</w:t>
      </w:r>
      <w:r w:rsidR="0047746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zut </w:t>
      </w:r>
      <w:r w:rsidR="0047746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n Strategia de dezvoltare a serviciilor sociale, se aplică și în cazul programelor de finanțare nerambursabile pentru activități nonprofit de interes general, în baza Legii nr.350/2005, cu modificările și</w:t>
      </w:r>
      <w:r w:rsidR="00C046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completările ulterioare. – </w:t>
      </w:r>
      <w:r w:rsidRPr="00C04694">
        <w:rPr>
          <w:rFonts w:ascii="Times New Roman" w:hAnsi="Times New Roman" w:cs="Times New Roman"/>
          <w:sz w:val="24"/>
          <w:szCs w:val="24"/>
          <w:lang w:val="ro-RO"/>
        </w:rPr>
        <w:t>nu este cazul</w:t>
      </w:r>
      <w:r w:rsidR="000E3D96" w:rsidRPr="00C046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EC027A" w14:textId="77777777" w:rsidR="00C04694" w:rsidRPr="00C04694" w:rsidRDefault="00C04694" w:rsidP="00C0469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A5E80F" w14:textId="34012E20" w:rsidR="00513FC9" w:rsidRPr="008F7929" w:rsidRDefault="00513FC9" w:rsidP="0038165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de subvenţionare a asociaţiilor, fundaţiilor și cultelor recunoscute de lege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, în baza Legii nr.</w:t>
      </w:r>
      <w:r w:rsidR="004E17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34/1998 privind acordarea unor subvenţii asociaţiilor şi fundaţiilor române cu personalitate juridică, care înfiinţează şi administrează unităţi de asistenţă socială, cu completările ulterioare: -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nu este cazul.</w:t>
      </w:r>
    </w:p>
    <w:p w14:paraId="17C43D07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EE5EE6" w14:textId="3E74A33F" w:rsidR="00513FC9" w:rsidRPr="008F7929" w:rsidRDefault="00FF6BF4" w:rsidP="00C0469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C04694">
        <w:rPr>
          <w:rFonts w:ascii="Times New Roman" w:hAnsi="Times New Roman" w:cs="Times New Roman"/>
          <w:b/>
          <w:sz w:val="24"/>
          <w:szCs w:val="24"/>
          <w:lang w:val="ro-RO"/>
        </w:rPr>
        <w:t>APITOLUL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II</w:t>
      </w:r>
      <w:r w:rsidR="00C046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513FC9" w:rsidRPr="008F7929">
        <w:rPr>
          <w:rFonts w:ascii="Times New Roman" w:hAnsi="Times New Roman" w:cs="Times New Roman"/>
          <w:b/>
          <w:sz w:val="24"/>
          <w:szCs w:val="24"/>
          <w:lang w:val="ro-RO"/>
        </w:rPr>
        <w:t>Planificarea activităţilor de informare a publicului c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u privire la serviciile sociale </w:t>
      </w:r>
      <w:r w:rsidR="00513FC9" w:rsidRPr="008F7929">
        <w:rPr>
          <w:rFonts w:ascii="Times New Roman" w:hAnsi="Times New Roman" w:cs="Times New Roman"/>
          <w:b/>
          <w:sz w:val="24"/>
          <w:szCs w:val="24"/>
          <w:lang w:val="ro-RO"/>
        </w:rPr>
        <w:t>existente la nivel local</w:t>
      </w:r>
    </w:p>
    <w:p w14:paraId="24BB4FE9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F55385" w14:textId="4F15C024" w:rsidR="00513FC9" w:rsidRPr="008F7929" w:rsidRDefault="00513FC9" w:rsidP="003816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1. Revizuirea/actualizarea informațiilor care se publică pe pagina proprie de internet/se afișează la sediul </w:t>
      </w:r>
      <w:r w:rsidR="00724781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Primăriei </w:t>
      </w:r>
      <w:r w:rsidR="00C04694">
        <w:rPr>
          <w:rFonts w:ascii="Times New Roman" w:hAnsi="Times New Roman" w:cs="Times New Roman"/>
          <w:sz w:val="24"/>
          <w:szCs w:val="24"/>
          <w:lang w:val="ro-RO"/>
        </w:rPr>
        <w:t xml:space="preserve">Comunei </w:t>
      </w:r>
      <w:r w:rsidR="00F1624D">
        <w:rPr>
          <w:rFonts w:ascii="Times New Roman" w:hAnsi="Times New Roman" w:cs="Times New Roman"/>
          <w:sz w:val="24"/>
          <w:szCs w:val="24"/>
          <w:lang w:val="ro-RO"/>
        </w:rPr>
        <w:t>Moldoveni</w:t>
      </w:r>
      <w:r w:rsidR="00724781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E91DFCC" w14:textId="77777777" w:rsidR="00513FC9" w:rsidRPr="008F7929" w:rsidRDefault="00513FC9" w:rsidP="0038165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Strategia de dezvoltare a serviciilor sociale –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actualizează anual</w:t>
      </w:r>
      <w:r w:rsidR="00E37BA5" w:rsidRPr="008F7929">
        <w:rPr>
          <w:rFonts w:ascii="Times New Roman" w:hAnsi="Times New Roman" w:cs="Times New Roman"/>
          <w:sz w:val="24"/>
          <w:szCs w:val="24"/>
          <w:u w:val="single"/>
          <w:lang w:val="ro-RO"/>
        </w:rPr>
        <w:t>;</w:t>
      </w:r>
    </w:p>
    <w:p w14:paraId="5D435DB7" w14:textId="77777777" w:rsidR="00513FC9" w:rsidRPr="008F7929" w:rsidRDefault="00513FC9" w:rsidP="0038165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Planul  anual de acțiune privind serviciile sociale administrate şi finanţate din bugetul consiliului judeţean/consiliului local</w:t>
      </w:r>
      <w:r w:rsidR="00DC2830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E37BA5"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actualizează anua</w:t>
      </w:r>
      <w:r w:rsidR="00DC2830"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l</w:t>
      </w:r>
      <w:r w:rsidR="00E37BA5" w:rsidRPr="008F7929">
        <w:rPr>
          <w:rFonts w:ascii="Times New Roman" w:hAnsi="Times New Roman" w:cs="Times New Roman"/>
          <w:sz w:val="24"/>
          <w:szCs w:val="24"/>
          <w:u w:val="single"/>
          <w:lang w:val="ro-RO"/>
        </w:rPr>
        <w:t>;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6F0FB1" w14:textId="77777777" w:rsidR="00513FC9" w:rsidRPr="00C04694" w:rsidRDefault="00513FC9" w:rsidP="0038165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Activitatea proprie şi serviciile aflate în proprie administrare - formulare/modele de cereri în format editabil, programul instituţiei, condiţii de eligibilitate, informaţiile privind costurile serviciilor sociale acordate, pentru fiecare serviciu furnizat, etc. –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actualizează ori de cate ori este nevoie;</w:t>
      </w:r>
    </w:p>
    <w:p w14:paraId="4BB9EDD0" w14:textId="77777777" w:rsidR="00513FC9" w:rsidRPr="008F7929" w:rsidRDefault="00513FC9" w:rsidP="0038165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Informaţii privind serviciile sociale disponibile la nivelul unităţii administrative teritoriale/subdiviziunii administrativ-teritoriale, acordate de furnizori publici ori privaţi</w:t>
      </w:r>
      <w:r w:rsidR="00DC2830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830" w:rsidRPr="008F7929">
        <w:rPr>
          <w:rFonts w:ascii="Calibri" w:hAnsi="Calibri" w:cs="Calibri"/>
          <w:sz w:val="24"/>
          <w:szCs w:val="24"/>
          <w:lang w:val="ro-RO"/>
        </w:rPr>
        <w:t>:</w:t>
      </w:r>
    </w:p>
    <w:p w14:paraId="36E52FC9" w14:textId="77777777" w:rsidR="00513FC9" w:rsidRPr="008F7929" w:rsidRDefault="00513FC9" w:rsidP="00381655">
      <w:pPr>
        <w:pStyle w:val="ListParagraph"/>
        <w:numPr>
          <w:ilvl w:val="0"/>
          <w:numId w:val="8"/>
        </w:numPr>
        <w:ind w:left="1418" w:hanging="3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Lista furnizorilor de servicii sociale din comunitate și din județ și a serviciilor sociale acordate de aceștia -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actualizează ori de cate ori este nevoie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11670917" w14:textId="77777777" w:rsidR="00513FC9" w:rsidRPr="008F7929" w:rsidRDefault="00513FC9" w:rsidP="00381655">
      <w:pPr>
        <w:pStyle w:val="ListParagraph"/>
        <w:numPr>
          <w:ilvl w:val="0"/>
          <w:numId w:val="8"/>
        </w:numPr>
        <w:ind w:left="1418" w:hanging="33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Serviciile sociale care funcționează în cadrul/coordonarea serviciului public de asistență socială: nr. cod serviciu, datele privind beneficiarii, costurile şi personalul/tipul de serviciu, înregistrate în anul anterior etc. –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actualizează anual.</w:t>
      </w:r>
    </w:p>
    <w:p w14:paraId="38D46D61" w14:textId="77777777" w:rsidR="00513FC9" w:rsidRPr="00C04694" w:rsidRDefault="00513FC9" w:rsidP="00381655">
      <w:pPr>
        <w:pStyle w:val="ListParagraph"/>
        <w:numPr>
          <w:ilvl w:val="0"/>
          <w:numId w:val="8"/>
        </w:numPr>
        <w:ind w:left="1418" w:hanging="33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Situaţii statistice care privesc serviciile sociale organizate şi acordate la nivelul judeţului şi al secto</w:t>
      </w:r>
      <w:r w:rsidR="00FC45DB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arelor municipiului Bucureşti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- nu este cazul;</w:t>
      </w:r>
    </w:p>
    <w:p w14:paraId="4874FAA7" w14:textId="77777777" w:rsidR="00513FC9" w:rsidRPr="00C04694" w:rsidRDefault="00513FC9" w:rsidP="0038165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Informaţii privind alte servicii de interes public care nu au organizate compartimente deconcentrate la nivelul unităţii administrativ-teritoriale –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nu este cazul;</w:t>
      </w:r>
    </w:p>
    <w:p w14:paraId="4AC0BF65" w14:textId="77777777" w:rsidR="00513FC9" w:rsidRPr="00C04694" w:rsidRDefault="00513FC9" w:rsidP="00381655">
      <w:pPr>
        <w:ind w:firstLine="71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lastRenderedPageBreak/>
        <w:t>2. Activități de informare a publicului, altele decât activitatea de informare a beneficiarului în cadrul procesului de acordare a serviciilor sociale, respectiv pe perioada realizării evaluării inițiale, a anchetelor sociale, sau a activității de consi</w:t>
      </w:r>
      <w:r w:rsidR="00DC2830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liere în cadrul centrelor de zi -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atunci când situația o impune; </w:t>
      </w:r>
    </w:p>
    <w:p w14:paraId="5F7B60A7" w14:textId="77777777" w:rsidR="00513FC9" w:rsidRPr="008F7929" w:rsidRDefault="00513FC9" w:rsidP="00381655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3. Telefonul verde</w:t>
      </w:r>
      <w:r w:rsidR="00EA7D2C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A7D2C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nu este cazul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7D2C"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B37D424" w14:textId="77777777" w:rsidR="00513FC9" w:rsidRPr="008F7929" w:rsidRDefault="00513FC9" w:rsidP="00381655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4. Campanii de informare și sensibilizare a comunității, organizate de Serviciul de Asistență Socială sau în colaborare cu alte servicii publice de interes local etc.-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anual</w:t>
      </w:r>
      <w:r w:rsidR="00EA7D2C"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7D22B04" w14:textId="77777777" w:rsidR="00EA7D2C" w:rsidRPr="008F7929" w:rsidRDefault="00513FC9" w:rsidP="0038165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5. Campanii de promovare a serviciilor sociale ale Serviciului de Asistență Socială-</w:t>
      </w:r>
      <w:r w:rsidR="00EA7D2C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anual</w:t>
      </w:r>
      <w:r w:rsidR="00EA7D2C"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  <w:r w:rsidRPr="008F792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p w14:paraId="64C90C4C" w14:textId="77777777" w:rsidR="00513FC9" w:rsidRPr="008F7929" w:rsidRDefault="00513FC9" w:rsidP="00381655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6. Organizarea de întâlniri tripartite: furnizorii de servicii sociale, organizații de voluntariat, asociații ale persoanelor beneficiare –</w:t>
      </w:r>
      <w:r w:rsidR="00EA7D2C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când este cazul</w:t>
      </w:r>
      <w:r w:rsidR="00EA7D2C" w:rsidRPr="008F7929">
        <w:rPr>
          <w:rFonts w:ascii="Times New Roman" w:hAnsi="Times New Roman" w:cs="Times New Roman"/>
          <w:sz w:val="24"/>
          <w:szCs w:val="24"/>
          <w:u w:val="single"/>
          <w:lang w:val="ro-RO"/>
        </w:rPr>
        <w:t>;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515E150" w14:textId="77777777" w:rsidR="00244A9D" w:rsidRDefault="00513FC9" w:rsidP="00244A9D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7. Activităţi de informare și consiliere realizate prin serviciul de asistență comunitară, cum ar fi: conștientizare şi sensibilizare a publicului privind riscul de excluziune socială, respectarea drepturilor sociale şi promovarea măsurilor de asistenţă socială, mediere socială, etc</w:t>
      </w:r>
      <w:r w:rsidR="000260F8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. - </w:t>
      </w:r>
      <w:r w:rsidR="000260F8"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când este cazul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</w:p>
    <w:p w14:paraId="56D035A0" w14:textId="3752F88C" w:rsidR="00244A9D" w:rsidRPr="00244A9D" w:rsidRDefault="00513FC9" w:rsidP="00244A9D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244A9D" w:rsidRPr="00244A9D">
        <w:rPr>
          <w:rFonts w:ascii="Times New Roman" w:hAnsi="Times New Roman" w:cs="Times New Roman"/>
          <w:i/>
          <w:iCs/>
          <w:sz w:val="24"/>
          <w:szCs w:val="24"/>
          <w:lang w:val="ro-RO"/>
        </w:rPr>
        <w:t>Școala Gimnazială, Comuna Moldoveni, județul Neamț - Raport de activitate extracurriculară : „20 noiembrie – Ziua Internațională a Drepturilor Copilului”</w:t>
      </w:r>
    </w:p>
    <w:p w14:paraId="0CA61CAF" w14:textId="77777777" w:rsidR="00244A9D" w:rsidRPr="00244A9D" w:rsidRDefault="00244A9D" w:rsidP="00244A9D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4A9D">
        <w:rPr>
          <w:rFonts w:ascii="Times New Roman" w:hAnsi="Times New Roman" w:cs="Times New Roman"/>
          <w:i/>
          <w:iCs/>
          <w:sz w:val="24"/>
          <w:szCs w:val="24"/>
          <w:lang w:val="ro-RO"/>
        </w:rPr>
        <w:t>Activitatea a fost coordonată de către domnul director, prof Tamba Mihai Claudiu, domnisoara asistent social din cadrul Primăriei Comunei Moldoveni, Pristavu Alexandra si domnul consilier școlar, prof.Bataragă Vasile. Această activitate a avut ca scop să ajute elevii din clasele primare și gimnaziale să înțeleagă și să aprecieze conceptul de drepturi ale omului, cu un accent special pe drepturile copilului.</w:t>
      </w:r>
    </w:p>
    <w:p w14:paraId="0FE9A344" w14:textId="5BA72C15" w:rsidR="00513FC9" w:rsidRPr="00C04694" w:rsidRDefault="00513FC9" w:rsidP="00381655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1293183" w14:textId="77777777" w:rsidR="00513FC9" w:rsidRPr="008F7929" w:rsidRDefault="00513FC9" w:rsidP="00381655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8. Mesaje de interes public transmise prin presă</w:t>
      </w:r>
      <w:r w:rsidR="00F2648E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2648E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4694">
        <w:rPr>
          <w:rFonts w:ascii="Times New Roman" w:hAnsi="Times New Roman" w:cs="Times New Roman"/>
          <w:i/>
          <w:iCs/>
          <w:sz w:val="24"/>
          <w:szCs w:val="24"/>
          <w:lang w:val="ro-RO"/>
        </w:rPr>
        <w:t>ori de câte ori este nevoie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58DB5B" w14:textId="77777777" w:rsidR="00C04694" w:rsidRDefault="00C04694" w:rsidP="00C04694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EF61000" w14:textId="019307B1" w:rsidR="00513FC9" w:rsidRPr="008F7929" w:rsidRDefault="00107D97" w:rsidP="00C0469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C04694">
        <w:rPr>
          <w:rFonts w:ascii="Times New Roman" w:hAnsi="Times New Roman" w:cs="Times New Roman"/>
          <w:b/>
          <w:sz w:val="24"/>
          <w:szCs w:val="24"/>
          <w:lang w:val="ro-RO"/>
        </w:rPr>
        <w:t>APITOLUL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III</w:t>
      </w:r>
      <w:r w:rsidR="00C046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513FC9" w:rsidRPr="008F7929">
        <w:rPr>
          <w:rFonts w:ascii="Times New Roman" w:hAnsi="Times New Roman" w:cs="Times New Roman"/>
          <w:b/>
          <w:sz w:val="24"/>
          <w:szCs w:val="24"/>
          <w:lang w:val="ro-RO"/>
        </w:rPr>
        <w:t>Programul de formare şi îndrumare metodologică a personalului care lucrează în domeniul serviciilor sociale</w:t>
      </w:r>
    </w:p>
    <w:p w14:paraId="30D09516" w14:textId="77777777" w:rsidR="00513FC9" w:rsidRPr="008F7929" w:rsidRDefault="00513FC9" w:rsidP="0038165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F4329A" w14:textId="77777777" w:rsidR="00513FC9" w:rsidRPr="008F7929" w:rsidRDefault="00513FC9" w:rsidP="003816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>1. Propuneri de activități de formare profesională continuă în vederea creşterii performanţei personalului din structurile proprii/instruire, etc.:</w:t>
      </w:r>
    </w:p>
    <w:p w14:paraId="4F460DF8" w14:textId="77777777" w:rsidR="00513FC9" w:rsidRPr="008F7929" w:rsidRDefault="00513FC9" w:rsidP="0038165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15B6F04" w14:textId="77777777" w:rsidR="00513FC9" w:rsidRPr="001C5D55" w:rsidRDefault="00513FC9" w:rsidP="00381655">
      <w:pPr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1C5D55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a. Cursuri de perfecționare:</w:t>
      </w:r>
    </w:p>
    <w:p w14:paraId="7BBEAFF6" w14:textId="77777777" w:rsidR="00513FC9" w:rsidRPr="008F7929" w:rsidRDefault="00513FC9" w:rsidP="00381655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64"/>
        <w:gridCol w:w="2072"/>
        <w:gridCol w:w="2835"/>
      </w:tblGrid>
      <w:tr w:rsidR="00107D97" w:rsidRPr="008F7929" w14:paraId="1188BA52" w14:textId="77777777" w:rsidTr="00BD43E2">
        <w:tc>
          <w:tcPr>
            <w:tcW w:w="2464" w:type="dxa"/>
          </w:tcPr>
          <w:p w14:paraId="62015957" w14:textId="77777777" w:rsidR="00107D97" w:rsidRPr="008F7929" w:rsidRDefault="00107D97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2" w:type="dxa"/>
          </w:tcPr>
          <w:p w14:paraId="68CD56A3" w14:textId="77777777" w:rsidR="00107D97" w:rsidRPr="008F7929" w:rsidRDefault="00107D97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57114A"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</w:t>
            </w:r>
          </w:p>
        </w:tc>
        <w:tc>
          <w:tcPr>
            <w:tcW w:w="2835" w:type="dxa"/>
          </w:tcPr>
          <w:p w14:paraId="2881AAF8" w14:textId="77777777" w:rsidR="00107D97" w:rsidRPr="008F7929" w:rsidRDefault="00107D97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estimat</w:t>
            </w:r>
          </w:p>
        </w:tc>
      </w:tr>
      <w:tr w:rsidR="00107D97" w:rsidRPr="008F7929" w14:paraId="469B34A5" w14:textId="77777777" w:rsidTr="00BD43E2">
        <w:tc>
          <w:tcPr>
            <w:tcW w:w="2464" w:type="dxa"/>
          </w:tcPr>
          <w:p w14:paraId="4560A78B" w14:textId="77777777" w:rsidR="00107D97" w:rsidRPr="008F7929" w:rsidRDefault="00107D97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Functionari publici</w:t>
            </w:r>
          </w:p>
        </w:tc>
        <w:tc>
          <w:tcPr>
            <w:tcW w:w="2072" w:type="dxa"/>
          </w:tcPr>
          <w:p w14:paraId="614441D6" w14:textId="0CD5359A" w:rsidR="00107D97" w:rsidRPr="008F7929" w:rsidRDefault="00195C5C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835" w:type="dxa"/>
          </w:tcPr>
          <w:p w14:paraId="6BDE34C4" w14:textId="4C2574CE" w:rsidR="00107D97" w:rsidRPr="008F7929" w:rsidRDefault="00195C5C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4B3F7814" w14:textId="77777777" w:rsidR="00513FC9" w:rsidRPr="008F7929" w:rsidRDefault="00513FC9" w:rsidP="0038165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69E878" w14:textId="77777777" w:rsidR="00513FC9" w:rsidRPr="00BD43E2" w:rsidRDefault="00513FC9" w:rsidP="00381655">
      <w:pPr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BD43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b. Cursuri de calificare: </w:t>
      </w:r>
    </w:p>
    <w:p w14:paraId="4FD9EE74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88"/>
        <w:gridCol w:w="1906"/>
        <w:gridCol w:w="2977"/>
      </w:tblGrid>
      <w:tr w:rsidR="00513FC9" w:rsidRPr="008F7929" w14:paraId="0C045045" w14:textId="77777777" w:rsidTr="00BD43E2">
        <w:tc>
          <w:tcPr>
            <w:tcW w:w="2488" w:type="dxa"/>
          </w:tcPr>
          <w:p w14:paraId="769DC4C9" w14:textId="77777777" w:rsidR="00513FC9" w:rsidRPr="008F7929" w:rsidRDefault="00C06B5B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Cursanț</w:t>
            </w:r>
            <w:r w:rsidR="00513FC9"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906" w:type="dxa"/>
          </w:tcPr>
          <w:p w14:paraId="1D933B66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persoane</w:t>
            </w:r>
          </w:p>
        </w:tc>
        <w:tc>
          <w:tcPr>
            <w:tcW w:w="2977" w:type="dxa"/>
          </w:tcPr>
          <w:p w14:paraId="345A6C95" w14:textId="77777777" w:rsidR="00513FC9" w:rsidRPr="008F7929" w:rsidRDefault="00C06B5B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estimat</w:t>
            </w:r>
            <w:r w:rsidR="00513FC9"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(lei)</w:t>
            </w:r>
          </w:p>
        </w:tc>
      </w:tr>
      <w:tr w:rsidR="00513FC9" w:rsidRPr="008F7929" w14:paraId="50110A9A" w14:textId="77777777" w:rsidTr="00BD43E2">
        <w:tc>
          <w:tcPr>
            <w:tcW w:w="2488" w:type="dxa"/>
          </w:tcPr>
          <w:p w14:paraId="1C882D20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906" w:type="dxa"/>
          </w:tcPr>
          <w:p w14:paraId="2F37F819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977" w:type="dxa"/>
          </w:tcPr>
          <w:p w14:paraId="113597E6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38D08AB1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FFB620" w14:textId="77777777" w:rsidR="00513FC9" w:rsidRPr="00BD43E2" w:rsidRDefault="00513FC9" w:rsidP="00381655">
      <w:pPr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BD43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c.  Sesiuni de instruire pentru:</w:t>
      </w:r>
    </w:p>
    <w:p w14:paraId="70FAC4BC" w14:textId="77777777" w:rsidR="00513FC9" w:rsidRPr="008F7929" w:rsidRDefault="00513FC9" w:rsidP="0038165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                c.1. personalul din centre conform cerințelor standardelor de calitate</w:t>
      </w:r>
      <w:r w:rsidR="0057114A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57114A" w:rsidRPr="008F7929">
        <w:rPr>
          <w:rFonts w:ascii="Times New Roman" w:hAnsi="Times New Roman" w:cs="Times New Roman"/>
          <w:sz w:val="24"/>
          <w:szCs w:val="24"/>
          <w:u w:val="single"/>
          <w:lang w:val="ro-RO"/>
        </w:rPr>
        <w:t>nu este cazul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F5A5BB4" w14:textId="77777777" w:rsidR="00513FC9" w:rsidRPr="008F7929" w:rsidRDefault="00513FC9" w:rsidP="0038165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                c.2. asistenți personali</w:t>
      </w:r>
      <w:r w:rsidR="0057114A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– o dată la 24 luni/15 persoane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7CE886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    c.3. îngrijitori informali</w:t>
      </w:r>
      <w:r w:rsidR="0057114A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– dacă situația o va impune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F1383E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    c.4. voluntari</w:t>
      </w:r>
      <w:r w:rsidR="003E6F8D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–  o dată la 12 luni/14 persoane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077B03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1070FCA" w14:textId="365F7236" w:rsidR="00513FC9" w:rsidRPr="008F7929" w:rsidRDefault="00513FC9" w:rsidP="00BD43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3E2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BD43E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  <w:r w:rsidRPr="00BD43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Organizarea de </w:t>
      </w:r>
      <w:r w:rsidR="00BD43E2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Pr="00BD43E2">
        <w:rPr>
          <w:rFonts w:ascii="Times New Roman" w:hAnsi="Times New Roman" w:cs="Times New Roman"/>
          <w:i/>
          <w:iCs/>
          <w:sz w:val="24"/>
          <w:szCs w:val="24"/>
          <w:lang w:val="ro-RO"/>
        </w:rPr>
        <w:t>ntalniri de tip peer review, inclusive prin structuri asociative municipiilor, oraselor, comunelor, prin asociatii profesionale, prin asociatii de dezvoltare intercomunitara etc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F568DD" w14:textId="77777777" w:rsidR="00513FC9" w:rsidRPr="008F7929" w:rsidRDefault="00513FC9" w:rsidP="0038165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88"/>
        <w:gridCol w:w="3192"/>
        <w:gridCol w:w="1833"/>
      </w:tblGrid>
      <w:tr w:rsidR="00513FC9" w:rsidRPr="008F7929" w14:paraId="2CADB8C4" w14:textId="77777777" w:rsidTr="001E3ED8">
        <w:tc>
          <w:tcPr>
            <w:tcW w:w="2488" w:type="dxa"/>
          </w:tcPr>
          <w:p w14:paraId="0FC4ADC5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Teme de interes</w:t>
            </w:r>
          </w:p>
        </w:tc>
        <w:tc>
          <w:tcPr>
            <w:tcW w:w="3192" w:type="dxa"/>
          </w:tcPr>
          <w:p w14:paraId="074B287D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747EA8"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persoane</w:t>
            </w:r>
          </w:p>
        </w:tc>
        <w:tc>
          <w:tcPr>
            <w:tcW w:w="1833" w:type="dxa"/>
          </w:tcPr>
          <w:p w14:paraId="695CEAEF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estimat</w:t>
            </w:r>
          </w:p>
        </w:tc>
      </w:tr>
      <w:tr w:rsidR="00513FC9" w:rsidRPr="008F7929" w14:paraId="44F4B1AE" w14:textId="77777777" w:rsidTr="001E3ED8">
        <w:tc>
          <w:tcPr>
            <w:tcW w:w="2488" w:type="dxa"/>
          </w:tcPr>
          <w:p w14:paraId="1F960295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3192" w:type="dxa"/>
          </w:tcPr>
          <w:p w14:paraId="58EDDDA0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3" w:type="dxa"/>
          </w:tcPr>
          <w:p w14:paraId="385C389D" w14:textId="77777777" w:rsidR="00513FC9" w:rsidRPr="008F7929" w:rsidRDefault="00513FC9" w:rsidP="00381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79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</w:tbl>
    <w:p w14:paraId="1B2F5F3F" w14:textId="77777777" w:rsidR="00513FC9" w:rsidRPr="008F7929" w:rsidRDefault="00513FC9" w:rsidP="0038165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65C497" w14:textId="77777777" w:rsidR="00513FC9" w:rsidRPr="00BD43E2" w:rsidRDefault="00513FC9" w:rsidP="00381655">
      <w:pPr>
        <w:ind w:firstLine="720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D43E2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e.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Participarea la sesiunile de formare organizate prin  programe de interes national</w:t>
      </w:r>
      <w:r w:rsidR="00670B7B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670B7B" w:rsidRPr="00BD43E2">
        <w:rPr>
          <w:rFonts w:ascii="Times New Roman" w:hAnsi="Times New Roman" w:cs="Times New Roman"/>
          <w:i/>
          <w:iCs/>
          <w:sz w:val="24"/>
          <w:szCs w:val="24"/>
          <w:lang w:val="ro-RO"/>
        </w:rPr>
        <w:t>când situația o va impune;</w:t>
      </w:r>
    </w:p>
    <w:p w14:paraId="72337A04" w14:textId="77777777" w:rsidR="00513FC9" w:rsidRPr="008F7929" w:rsidRDefault="00513FC9" w:rsidP="00381655">
      <w:pPr>
        <w:ind w:firstLine="720"/>
        <w:rPr>
          <w:b/>
          <w:lang w:val="ro-RO"/>
        </w:rPr>
      </w:pPr>
      <w:r w:rsidRPr="00BD43E2">
        <w:rPr>
          <w:rFonts w:ascii="Times New Roman" w:hAnsi="Times New Roman" w:cs="Times New Roman"/>
          <w:bCs/>
          <w:lang w:val="ro-RO"/>
        </w:rPr>
        <w:t>f.</w:t>
      </w:r>
      <w:r w:rsidRPr="008F7929">
        <w:rPr>
          <w:rFonts w:ascii="Times New Roman" w:hAnsi="Times New Roman" w:cs="Times New Roman"/>
          <w:b/>
          <w:lang w:val="ro-RO"/>
        </w:rPr>
        <w:t xml:space="preserve"> </w:t>
      </w:r>
      <w:r w:rsidRPr="008F7929">
        <w:rPr>
          <w:rFonts w:ascii="Times New Roman" w:hAnsi="Times New Roman" w:cs="Times New Roman"/>
          <w:lang w:val="ro-RO"/>
        </w:rPr>
        <w:t>Altele</w:t>
      </w:r>
      <w:r w:rsidRPr="008F7929">
        <w:rPr>
          <w:lang w:val="ro-RO"/>
        </w:rPr>
        <w:t>;</w:t>
      </w:r>
    </w:p>
    <w:p w14:paraId="3BDCEF41" w14:textId="77777777" w:rsidR="00513FC9" w:rsidRPr="008F7929" w:rsidRDefault="00513FC9" w:rsidP="0038165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D35793" w14:textId="77777777" w:rsidR="00513FC9" w:rsidRPr="00805DA4" w:rsidRDefault="00513FC9" w:rsidP="00381655">
      <w:pPr>
        <w:ind w:firstLine="710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05DA4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Pr="008F79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Incheiere de contr</w:t>
      </w:r>
      <w:r w:rsidR="004B3897" w:rsidRPr="008F7929">
        <w:rPr>
          <w:rFonts w:ascii="Times New Roman" w:hAnsi="Times New Roman" w:cs="Times New Roman"/>
          <w:sz w:val="24"/>
          <w:szCs w:val="24"/>
          <w:lang w:val="ro-RO"/>
        </w:rPr>
        <w:t>acte de supervizare profesională/revizuirea fișelor de post în vederea asigurarii coordonării profesionale sau î</w:t>
      </w:r>
      <w:r w:rsidRPr="008F7929">
        <w:rPr>
          <w:rFonts w:ascii="Times New Roman" w:hAnsi="Times New Roman" w:cs="Times New Roman"/>
          <w:sz w:val="24"/>
          <w:szCs w:val="24"/>
          <w:lang w:val="ro-RO"/>
        </w:rPr>
        <w:t>ncheier</w:t>
      </w:r>
      <w:r w:rsidR="004B3897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ea de contracte de supervizare în servicii sociale - </w:t>
      </w:r>
      <w:r w:rsidRPr="00805DA4">
        <w:rPr>
          <w:rFonts w:ascii="Times New Roman" w:hAnsi="Times New Roman" w:cs="Times New Roman"/>
          <w:i/>
          <w:iCs/>
          <w:sz w:val="24"/>
          <w:szCs w:val="24"/>
          <w:lang w:val="ro-RO"/>
        </w:rPr>
        <w:t>nu este cazul.</w:t>
      </w:r>
    </w:p>
    <w:p w14:paraId="41A68981" w14:textId="16EAE4C2" w:rsidR="00513FC9" w:rsidRPr="008F7929" w:rsidRDefault="00805DA4" w:rsidP="003816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513FC9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802D7B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asistenți sociali: -  </w:t>
      </w:r>
    </w:p>
    <w:p w14:paraId="2CF5FCC5" w14:textId="333D01B7" w:rsidR="00513FC9" w:rsidRDefault="00805DA4" w:rsidP="003816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513FC9" w:rsidRPr="008F792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02D7B" w:rsidRPr="008F7929">
        <w:rPr>
          <w:rFonts w:ascii="Times New Roman" w:hAnsi="Times New Roman" w:cs="Times New Roman"/>
          <w:sz w:val="24"/>
          <w:szCs w:val="24"/>
          <w:lang w:val="ro-RO"/>
        </w:rPr>
        <w:t xml:space="preserve">ntru psihologi : -  </w:t>
      </w:r>
    </w:p>
    <w:p w14:paraId="535E66A8" w14:textId="77777777" w:rsidR="00A42E9C" w:rsidRDefault="00A42E9C" w:rsidP="00A42E9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7E80A1" w14:textId="525272EA" w:rsidR="00A42E9C" w:rsidRPr="00A42E9C" w:rsidRDefault="003129B6" w:rsidP="003129B6">
      <w:pPr>
        <w:tabs>
          <w:tab w:val="left" w:pos="65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3EEE269" w14:textId="0A113327" w:rsidR="00513FC9" w:rsidRPr="008F7929" w:rsidRDefault="005C2758" w:rsidP="00381655">
      <w:pPr>
        <w:pStyle w:val="ListParagraph"/>
        <w:ind w:left="10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PRIMAR                                                                           </w:t>
      </w:r>
      <w:r w:rsidRPr="005C2758">
        <w:rPr>
          <w:rFonts w:ascii="Times New Roman" w:hAnsi="Times New Roman" w:cs="Times New Roman"/>
          <w:sz w:val="24"/>
          <w:szCs w:val="24"/>
          <w:lang w:val="ro-RO"/>
        </w:rPr>
        <w:t>ÎNTOCMIT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</w:p>
    <w:p w14:paraId="6BF08C42" w14:textId="32C7684A" w:rsidR="00CA78C0" w:rsidRDefault="00A42E9C" w:rsidP="00A42E9C">
      <w:pPr>
        <w:tabs>
          <w:tab w:val="left" w:pos="631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5C275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3129B6" w:rsidRPr="003129B6">
        <w:rPr>
          <w:rFonts w:ascii="Times New Roman" w:hAnsi="Times New Roman" w:cs="Times New Roman"/>
          <w:sz w:val="24"/>
          <w:szCs w:val="24"/>
          <w:lang w:val="ro-RO"/>
        </w:rPr>
        <w:t>COMPARTIMENT ASISTENŢĂ SOCIALĂ</w:t>
      </w:r>
    </w:p>
    <w:p w14:paraId="17D9C1D5" w14:textId="1CEF9692" w:rsidR="00A42E9C" w:rsidRPr="00381655" w:rsidRDefault="00A42E9C" w:rsidP="00A42E9C">
      <w:pPr>
        <w:tabs>
          <w:tab w:val="left" w:pos="631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BÎRJOVEANU  </w:t>
      </w:r>
      <w:r w:rsidR="003C2556">
        <w:rPr>
          <w:rFonts w:ascii="Times New Roman" w:hAnsi="Times New Roman" w:cs="Times New Roman"/>
          <w:sz w:val="24"/>
          <w:szCs w:val="24"/>
          <w:lang w:val="ro-RO"/>
        </w:rPr>
        <w:t xml:space="preserve">MARCEL IOAN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5C2758">
        <w:rPr>
          <w:rFonts w:ascii="Times New Roman" w:hAnsi="Times New Roman" w:cs="Times New Roman"/>
          <w:sz w:val="24"/>
          <w:szCs w:val="24"/>
          <w:lang w:val="ro-RO"/>
        </w:rPr>
        <w:t xml:space="preserve">Consilier </w:t>
      </w:r>
      <w:r w:rsidR="003C255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C27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C2556">
        <w:rPr>
          <w:rFonts w:ascii="Times New Roman" w:hAnsi="Times New Roman" w:cs="Times New Roman"/>
          <w:sz w:val="24"/>
          <w:szCs w:val="24"/>
          <w:lang w:val="ro-RO"/>
        </w:rPr>
        <w:t xml:space="preserve">ristavu Alexandra </w:t>
      </w:r>
    </w:p>
    <w:sectPr w:rsidR="00A42E9C" w:rsidRPr="00381655" w:rsidSect="00381655">
      <w:footerReference w:type="default" r:id="rId10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57CC" w14:textId="77777777" w:rsidR="00331EA1" w:rsidRDefault="00331EA1" w:rsidP="00D42120">
      <w:r>
        <w:separator/>
      </w:r>
    </w:p>
  </w:endnote>
  <w:endnote w:type="continuationSeparator" w:id="0">
    <w:p w14:paraId="76ADBDFA" w14:textId="77777777" w:rsidR="00331EA1" w:rsidRDefault="00331EA1" w:rsidP="00D4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926306"/>
      <w:docPartObj>
        <w:docPartGallery w:val="Page Numbers (Bottom of Page)"/>
        <w:docPartUnique/>
      </w:docPartObj>
    </w:sdtPr>
    <w:sdtContent>
      <w:p w14:paraId="4DE5BC59" w14:textId="4DAF15BB" w:rsidR="00486403" w:rsidRDefault="004864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BB4CC63" w14:textId="77777777" w:rsidR="00F86EB1" w:rsidRPr="00B540FE" w:rsidRDefault="00F86EB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EAFF" w14:textId="77777777" w:rsidR="00331EA1" w:rsidRDefault="00331EA1" w:rsidP="00D42120">
      <w:r>
        <w:separator/>
      </w:r>
    </w:p>
  </w:footnote>
  <w:footnote w:type="continuationSeparator" w:id="0">
    <w:p w14:paraId="74F182C5" w14:textId="77777777" w:rsidR="00331EA1" w:rsidRDefault="00331EA1" w:rsidP="00D4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35F"/>
    <w:multiLevelType w:val="hybridMultilevel"/>
    <w:tmpl w:val="0A56CBDA"/>
    <w:lvl w:ilvl="0" w:tplc="F8B874D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FB30E6"/>
    <w:multiLevelType w:val="hybridMultilevel"/>
    <w:tmpl w:val="43AC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4C1D"/>
    <w:multiLevelType w:val="hybridMultilevel"/>
    <w:tmpl w:val="5A889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2440"/>
    <w:multiLevelType w:val="hybridMultilevel"/>
    <w:tmpl w:val="65FE3B2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5653B"/>
    <w:multiLevelType w:val="hybridMultilevel"/>
    <w:tmpl w:val="A8F4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812"/>
    <w:multiLevelType w:val="hybridMultilevel"/>
    <w:tmpl w:val="4C08685E"/>
    <w:lvl w:ilvl="0" w:tplc="79C289FA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23449"/>
    <w:multiLevelType w:val="hybridMultilevel"/>
    <w:tmpl w:val="40F8FA12"/>
    <w:lvl w:ilvl="0" w:tplc="18C250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3781"/>
    <w:multiLevelType w:val="hybridMultilevel"/>
    <w:tmpl w:val="1932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77AB"/>
    <w:multiLevelType w:val="hybridMultilevel"/>
    <w:tmpl w:val="FDEE4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44D1"/>
    <w:multiLevelType w:val="hybridMultilevel"/>
    <w:tmpl w:val="6EF6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86A"/>
    <w:multiLevelType w:val="hybridMultilevel"/>
    <w:tmpl w:val="2C96F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2D46"/>
    <w:multiLevelType w:val="hybridMultilevel"/>
    <w:tmpl w:val="4D2CFDC8"/>
    <w:lvl w:ilvl="0" w:tplc="8006D7D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C5E06"/>
    <w:multiLevelType w:val="hybridMultilevel"/>
    <w:tmpl w:val="01A4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87045"/>
    <w:multiLevelType w:val="hybridMultilevel"/>
    <w:tmpl w:val="DC78A2D4"/>
    <w:lvl w:ilvl="0" w:tplc="AD7CF6D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6B43"/>
    <w:multiLevelType w:val="hybridMultilevel"/>
    <w:tmpl w:val="6F7EA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40B"/>
    <w:multiLevelType w:val="hybridMultilevel"/>
    <w:tmpl w:val="EF14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30393"/>
    <w:multiLevelType w:val="hybridMultilevel"/>
    <w:tmpl w:val="CF5A3E40"/>
    <w:lvl w:ilvl="0" w:tplc="DA7A193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3CB3AF9"/>
    <w:multiLevelType w:val="hybridMultilevel"/>
    <w:tmpl w:val="CF5A3E40"/>
    <w:lvl w:ilvl="0" w:tplc="DA7A193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AC97070"/>
    <w:multiLevelType w:val="hybridMultilevel"/>
    <w:tmpl w:val="88B29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2234B"/>
    <w:multiLevelType w:val="hybridMultilevel"/>
    <w:tmpl w:val="65FE3B2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D921F8"/>
    <w:multiLevelType w:val="hybridMultilevel"/>
    <w:tmpl w:val="C9CAD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85C9C"/>
    <w:multiLevelType w:val="hybridMultilevel"/>
    <w:tmpl w:val="98A0C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E7C77"/>
    <w:multiLevelType w:val="hybridMultilevel"/>
    <w:tmpl w:val="5EE86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51284"/>
    <w:multiLevelType w:val="hybridMultilevel"/>
    <w:tmpl w:val="777670EE"/>
    <w:lvl w:ilvl="0" w:tplc="DFAC7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C33BA"/>
    <w:multiLevelType w:val="hybridMultilevel"/>
    <w:tmpl w:val="BB8EEA70"/>
    <w:lvl w:ilvl="0" w:tplc="5DAC27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B3D"/>
    <w:multiLevelType w:val="hybridMultilevel"/>
    <w:tmpl w:val="996E7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FF0"/>
    <w:multiLevelType w:val="hybridMultilevel"/>
    <w:tmpl w:val="4DDEB412"/>
    <w:lvl w:ilvl="0" w:tplc="A20EA1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8836841">
    <w:abstractNumId w:val="14"/>
  </w:num>
  <w:num w:numId="2" w16cid:durableId="263223289">
    <w:abstractNumId w:val="10"/>
  </w:num>
  <w:num w:numId="3" w16cid:durableId="391923840">
    <w:abstractNumId w:val="20"/>
  </w:num>
  <w:num w:numId="4" w16cid:durableId="1946112404">
    <w:abstractNumId w:val="8"/>
  </w:num>
  <w:num w:numId="5" w16cid:durableId="605306229">
    <w:abstractNumId w:val="21"/>
  </w:num>
  <w:num w:numId="6" w16cid:durableId="1925913802">
    <w:abstractNumId w:val="24"/>
  </w:num>
  <w:num w:numId="7" w16cid:durableId="971440937">
    <w:abstractNumId w:val="3"/>
  </w:num>
  <w:num w:numId="8" w16cid:durableId="495653671">
    <w:abstractNumId w:val="5"/>
  </w:num>
  <w:num w:numId="9" w16cid:durableId="898900780">
    <w:abstractNumId w:val="2"/>
  </w:num>
  <w:num w:numId="10" w16cid:durableId="2017266322">
    <w:abstractNumId w:val="19"/>
  </w:num>
  <w:num w:numId="11" w16cid:durableId="700399426">
    <w:abstractNumId w:val="23"/>
  </w:num>
  <w:num w:numId="12" w16cid:durableId="1346322203">
    <w:abstractNumId w:val="17"/>
  </w:num>
  <w:num w:numId="13" w16cid:durableId="1435632869">
    <w:abstractNumId w:val="16"/>
  </w:num>
  <w:num w:numId="14" w16cid:durableId="1386369210">
    <w:abstractNumId w:val="15"/>
  </w:num>
  <w:num w:numId="15" w16cid:durableId="492184436">
    <w:abstractNumId w:val="0"/>
  </w:num>
  <w:num w:numId="16" w16cid:durableId="1338073731">
    <w:abstractNumId w:val="26"/>
  </w:num>
  <w:num w:numId="17" w16cid:durableId="913508080">
    <w:abstractNumId w:val="18"/>
  </w:num>
  <w:num w:numId="18" w16cid:durableId="396827237">
    <w:abstractNumId w:val="9"/>
  </w:num>
  <w:num w:numId="19" w16cid:durableId="1030423501">
    <w:abstractNumId w:val="25"/>
  </w:num>
  <w:num w:numId="20" w16cid:durableId="1579560313">
    <w:abstractNumId w:val="4"/>
  </w:num>
  <w:num w:numId="21" w16cid:durableId="1047031293">
    <w:abstractNumId w:val="7"/>
  </w:num>
  <w:num w:numId="22" w16cid:durableId="812064980">
    <w:abstractNumId w:val="12"/>
  </w:num>
  <w:num w:numId="23" w16cid:durableId="1691560964">
    <w:abstractNumId w:val="1"/>
  </w:num>
  <w:num w:numId="24" w16cid:durableId="659575028">
    <w:abstractNumId w:val="6"/>
  </w:num>
  <w:num w:numId="25" w16cid:durableId="327560319">
    <w:abstractNumId w:val="11"/>
  </w:num>
  <w:num w:numId="26" w16cid:durableId="1068382249">
    <w:abstractNumId w:val="13"/>
  </w:num>
  <w:num w:numId="27" w16cid:durableId="1802916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C9"/>
    <w:rsid w:val="00025983"/>
    <w:rsid w:val="000260F8"/>
    <w:rsid w:val="00045E09"/>
    <w:rsid w:val="000508AF"/>
    <w:rsid w:val="00051CD5"/>
    <w:rsid w:val="00057D82"/>
    <w:rsid w:val="00096590"/>
    <w:rsid w:val="000B37E2"/>
    <w:rsid w:val="000C05B0"/>
    <w:rsid w:val="000E0B6D"/>
    <w:rsid w:val="000E3D96"/>
    <w:rsid w:val="00100CD6"/>
    <w:rsid w:val="00107D97"/>
    <w:rsid w:val="00121736"/>
    <w:rsid w:val="0012794C"/>
    <w:rsid w:val="00152752"/>
    <w:rsid w:val="00165041"/>
    <w:rsid w:val="0017298B"/>
    <w:rsid w:val="00173F21"/>
    <w:rsid w:val="001814D8"/>
    <w:rsid w:val="001818B7"/>
    <w:rsid w:val="00183AF2"/>
    <w:rsid w:val="00195C5C"/>
    <w:rsid w:val="001B0972"/>
    <w:rsid w:val="001B33AD"/>
    <w:rsid w:val="001C5D55"/>
    <w:rsid w:val="001D25EC"/>
    <w:rsid w:val="001E12F3"/>
    <w:rsid w:val="001E3ED8"/>
    <w:rsid w:val="00207846"/>
    <w:rsid w:val="002165D3"/>
    <w:rsid w:val="00241605"/>
    <w:rsid w:val="00244A9D"/>
    <w:rsid w:val="0025583F"/>
    <w:rsid w:val="00293B73"/>
    <w:rsid w:val="002A335A"/>
    <w:rsid w:val="002A45D3"/>
    <w:rsid w:val="002B6DF7"/>
    <w:rsid w:val="002C485F"/>
    <w:rsid w:val="002E6E35"/>
    <w:rsid w:val="00303BFB"/>
    <w:rsid w:val="003129B6"/>
    <w:rsid w:val="00317D84"/>
    <w:rsid w:val="00323ACB"/>
    <w:rsid w:val="00331EA1"/>
    <w:rsid w:val="003507E8"/>
    <w:rsid w:val="0036286A"/>
    <w:rsid w:val="00380D38"/>
    <w:rsid w:val="00381655"/>
    <w:rsid w:val="003A7756"/>
    <w:rsid w:val="003B71B7"/>
    <w:rsid w:val="003C2556"/>
    <w:rsid w:val="003C5BE0"/>
    <w:rsid w:val="003E6F8D"/>
    <w:rsid w:val="003F405A"/>
    <w:rsid w:val="0044296D"/>
    <w:rsid w:val="004451A2"/>
    <w:rsid w:val="00451AAA"/>
    <w:rsid w:val="0046004F"/>
    <w:rsid w:val="00470EAF"/>
    <w:rsid w:val="00477466"/>
    <w:rsid w:val="00486403"/>
    <w:rsid w:val="0049084A"/>
    <w:rsid w:val="004A11C8"/>
    <w:rsid w:val="004A2E83"/>
    <w:rsid w:val="004B3897"/>
    <w:rsid w:val="004B3EC8"/>
    <w:rsid w:val="004E17F8"/>
    <w:rsid w:val="00513FC9"/>
    <w:rsid w:val="00520568"/>
    <w:rsid w:val="005235BE"/>
    <w:rsid w:val="00524148"/>
    <w:rsid w:val="005425BC"/>
    <w:rsid w:val="005517E3"/>
    <w:rsid w:val="00554F15"/>
    <w:rsid w:val="0057114A"/>
    <w:rsid w:val="005734DC"/>
    <w:rsid w:val="00596841"/>
    <w:rsid w:val="005C2758"/>
    <w:rsid w:val="005D639A"/>
    <w:rsid w:val="005E17A6"/>
    <w:rsid w:val="005F4810"/>
    <w:rsid w:val="005F6B45"/>
    <w:rsid w:val="00600FE1"/>
    <w:rsid w:val="006204D6"/>
    <w:rsid w:val="006234DE"/>
    <w:rsid w:val="006239A0"/>
    <w:rsid w:val="00661F9F"/>
    <w:rsid w:val="0066231A"/>
    <w:rsid w:val="0066305E"/>
    <w:rsid w:val="0066323F"/>
    <w:rsid w:val="00665EE3"/>
    <w:rsid w:val="00670B7B"/>
    <w:rsid w:val="00672923"/>
    <w:rsid w:val="0068088B"/>
    <w:rsid w:val="006830AB"/>
    <w:rsid w:val="006A63C9"/>
    <w:rsid w:val="006C033D"/>
    <w:rsid w:val="006C4269"/>
    <w:rsid w:val="00724781"/>
    <w:rsid w:val="00747EA8"/>
    <w:rsid w:val="00767655"/>
    <w:rsid w:val="00770F25"/>
    <w:rsid w:val="00781C8D"/>
    <w:rsid w:val="007B168C"/>
    <w:rsid w:val="007B5AC2"/>
    <w:rsid w:val="007D7C3E"/>
    <w:rsid w:val="007E12C6"/>
    <w:rsid w:val="007E3013"/>
    <w:rsid w:val="00802D7B"/>
    <w:rsid w:val="00805DA4"/>
    <w:rsid w:val="00821862"/>
    <w:rsid w:val="00822BDB"/>
    <w:rsid w:val="008316BF"/>
    <w:rsid w:val="00832A3F"/>
    <w:rsid w:val="008344D9"/>
    <w:rsid w:val="00837E94"/>
    <w:rsid w:val="00852FB6"/>
    <w:rsid w:val="00862B10"/>
    <w:rsid w:val="008664F9"/>
    <w:rsid w:val="00880C6E"/>
    <w:rsid w:val="008A0E90"/>
    <w:rsid w:val="008C26D3"/>
    <w:rsid w:val="008D0D7D"/>
    <w:rsid w:val="008D4822"/>
    <w:rsid w:val="008F2EDD"/>
    <w:rsid w:val="008F750A"/>
    <w:rsid w:val="008F7929"/>
    <w:rsid w:val="0090448B"/>
    <w:rsid w:val="00906282"/>
    <w:rsid w:val="00926559"/>
    <w:rsid w:val="00931E5D"/>
    <w:rsid w:val="00960BDB"/>
    <w:rsid w:val="00984788"/>
    <w:rsid w:val="009A3AE5"/>
    <w:rsid w:val="009A57C3"/>
    <w:rsid w:val="009A6E0A"/>
    <w:rsid w:val="009C4193"/>
    <w:rsid w:val="009D0020"/>
    <w:rsid w:val="00A07DD4"/>
    <w:rsid w:val="00A42E9C"/>
    <w:rsid w:val="00A44C99"/>
    <w:rsid w:val="00A74A69"/>
    <w:rsid w:val="00A75571"/>
    <w:rsid w:val="00A76295"/>
    <w:rsid w:val="00A817AE"/>
    <w:rsid w:val="00A945FF"/>
    <w:rsid w:val="00AA2334"/>
    <w:rsid w:val="00AC2FDC"/>
    <w:rsid w:val="00AF4593"/>
    <w:rsid w:val="00AF7CB2"/>
    <w:rsid w:val="00B1093E"/>
    <w:rsid w:val="00B163D8"/>
    <w:rsid w:val="00B30B39"/>
    <w:rsid w:val="00B3723F"/>
    <w:rsid w:val="00B54633"/>
    <w:rsid w:val="00B77C7A"/>
    <w:rsid w:val="00BB27F8"/>
    <w:rsid w:val="00BC2FE1"/>
    <w:rsid w:val="00BC3DF2"/>
    <w:rsid w:val="00BD43E2"/>
    <w:rsid w:val="00BF0EC4"/>
    <w:rsid w:val="00BF13E2"/>
    <w:rsid w:val="00BF66CC"/>
    <w:rsid w:val="00C00632"/>
    <w:rsid w:val="00C04694"/>
    <w:rsid w:val="00C06B5B"/>
    <w:rsid w:val="00C12E93"/>
    <w:rsid w:val="00C1671B"/>
    <w:rsid w:val="00C22965"/>
    <w:rsid w:val="00C318F5"/>
    <w:rsid w:val="00C4322A"/>
    <w:rsid w:val="00C66AE2"/>
    <w:rsid w:val="00C741D0"/>
    <w:rsid w:val="00C817C6"/>
    <w:rsid w:val="00C83D17"/>
    <w:rsid w:val="00CA78C0"/>
    <w:rsid w:val="00CC160A"/>
    <w:rsid w:val="00CC20F4"/>
    <w:rsid w:val="00CD44BB"/>
    <w:rsid w:val="00CE5A63"/>
    <w:rsid w:val="00CE5DD2"/>
    <w:rsid w:val="00CE7B6C"/>
    <w:rsid w:val="00CF54F2"/>
    <w:rsid w:val="00D04056"/>
    <w:rsid w:val="00D42120"/>
    <w:rsid w:val="00D43A86"/>
    <w:rsid w:val="00D56653"/>
    <w:rsid w:val="00D60B8A"/>
    <w:rsid w:val="00D70A2A"/>
    <w:rsid w:val="00D73695"/>
    <w:rsid w:val="00D77E42"/>
    <w:rsid w:val="00DA1ABB"/>
    <w:rsid w:val="00DB73E4"/>
    <w:rsid w:val="00DC2830"/>
    <w:rsid w:val="00DC5F83"/>
    <w:rsid w:val="00DD1F18"/>
    <w:rsid w:val="00DF351A"/>
    <w:rsid w:val="00E04395"/>
    <w:rsid w:val="00E06E3C"/>
    <w:rsid w:val="00E11CF3"/>
    <w:rsid w:val="00E16634"/>
    <w:rsid w:val="00E31883"/>
    <w:rsid w:val="00E37BA5"/>
    <w:rsid w:val="00E41A63"/>
    <w:rsid w:val="00E552FA"/>
    <w:rsid w:val="00E842C3"/>
    <w:rsid w:val="00E857A8"/>
    <w:rsid w:val="00E9366E"/>
    <w:rsid w:val="00EA7D2C"/>
    <w:rsid w:val="00EB2AB3"/>
    <w:rsid w:val="00EE5144"/>
    <w:rsid w:val="00EF19DC"/>
    <w:rsid w:val="00EF4030"/>
    <w:rsid w:val="00F14039"/>
    <w:rsid w:val="00F1624D"/>
    <w:rsid w:val="00F2648E"/>
    <w:rsid w:val="00F417AF"/>
    <w:rsid w:val="00F442D8"/>
    <w:rsid w:val="00F46E86"/>
    <w:rsid w:val="00F4757B"/>
    <w:rsid w:val="00F67EB0"/>
    <w:rsid w:val="00F7548A"/>
    <w:rsid w:val="00F85163"/>
    <w:rsid w:val="00F86EB1"/>
    <w:rsid w:val="00FB2D02"/>
    <w:rsid w:val="00FC45DB"/>
    <w:rsid w:val="00FE6466"/>
    <w:rsid w:val="00FE7F5A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98ED"/>
  <w15:docId w15:val="{BFBDDB5D-8163-4C75-9C87-CE48F872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FC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13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C9"/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List Paragraph 1"/>
    <w:basedOn w:val="Normal"/>
    <w:link w:val="ListParagraphChar"/>
    <w:uiPriority w:val="34"/>
    <w:qFormat/>
    <w:rsid w:val="00513FC9"/>
    <w:pPr>
      <w:ind w:left="720"/>
      <w:contextualSpacing/>
    </w:pPr>
  </w:style>
  <w:style w:type="table" w:styleId="TableGrid">
    <w:name w:val="Table Grid"/>
    <w:basedOn w:val="TableNormal"/>
    <w:uiPriority w:val="59"/>
    <w:rsid w:val="00513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13FC9"/>
    <w:rPr>
      <w:color w:val="0000FF"/>
      <w:u w:val="single"/>
    </w:rPr>
  </w:style>
  <w:style w:type="paragraph" w:customStyle="1" w:styleId="Default">
    <w:name w:val="Default"/>
    <w:rsid w:val="00600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862B10"/>
  </w:style>
  <w:style w:type="paragraph" w:styleId="Caption">
    <w:name w:val="caption"/>
    <w:basedOn w:val="Normal"/>
    <w:next w:val="Normal"/>
    <w:qFormat/>
    <w:rsid w:val="002E6E35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86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239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muncii.ro/j33/index.php/ro/minister-2019/strategii-politici-programe/6562-sn-incluziune-sociala-2022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2C7F-875C-4EBD-83BF-DD359EB6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3551</Words>
  <Characters>20242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 Pristavu</cp:lastModifiedBy>
  <cp:revision>73</cp:revision>
  <cp:lastPrinted>2025-06-19T08:27:00Z</cp:lastPrinted>
  <dcterms:created xsi:type="dcterms:W3CDTF">2025-06-02T10:33:00Z</dcterms:created>
  <dcterms:modified xsi:type="dcterms:W3CDTF">2026-02-05T10:04:00Z</dcterms:modified>
</cp:coreProperties>
</file>