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043" w:rsidRPr="003A0043" w:rsidRDefault="003A0043" w:rsidP="003A00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A0043"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 w:rsidRPr="003A0043">
        <w:rPr>
          <w:rFonts w:ascii="Times New Roman" w:hAnsi="Times New Roman" w:cs="Times New Roman"/>
          <w:b/>
          <w:sz w:val="24"/>
          <w:szCs w:val="24"/>
        </w:rPr>
        <w:t xml:space="preserve"> la HCL nr.</w:t>
      </w:r>
      <w:proofErr w:type="gramEnd"/>
      <w:r w:rsidRPr="003A00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211  din</w:t>
      </w:r>
      <w:proofErr w:type="gramEnd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20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octombrie</w:t>
      </w:r>
      <w:proofErr w:type="spellEnd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2022</w:t>
      </w:r>
    </w:p>
    <w:p w:rsidR="003A0043" w:rsidRPr="003A0043" w:rsidRDefault="003A0043" w:rsidP="003A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043">
        <w:rPr>
          <w:sz w:val="24"/>
          <w:szCs w:val="24"/>
        </w:rPr>
        <w:t xml:space="preserve">                           </w:t>
      </w:r>
      <w:r w:rsidRPr="003A0043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Preşedinte</w:t>
      </w:r>
      <w:proofErr w:type="spellEnd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şedinţă</w:t>
      </w:r>
      <w:proofErr w:type="spellEnd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Contrasemnează</w:t>
      </w:r>
      <w:proofErr w:type="spellEnd"/>
    </w:p>
    <w:p w:rsidR="003A0043" w:rsidRPr="003A0043" w:rsidRDefault="003A0043" w:rsidP="003A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Florentia</w:t>
      </w:r>
      <w:proofErr w:type="spellEnd"/>
      <w:r w:rsidR="00F83028">
        <w:rPr>
          <w:rFonts w:ascii="Times New Roman" w:eastAsia="Times New Roman" w:hAnsi="Times New Roman" w:cs="Times New Roman"/>
          <w:b/>
          <w:sz w:val="24"/>
          <w:szCs w:val="24"/>
        </w:rPr>
        <w:t xml:space="preserve"> Angela TOIA</w:t>
      </w:r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spellStart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>Secretar</w:t>
      </w:r>
      <w:proofErr w:type="spellEnd"/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General </w:t>
      </w:r>
    </w:p>
    <w:p w:rsidR="003A0043" w:rsidRPr="003A0043" w:rsidRDefault="003A0043" w:rsidP="003A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04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Cornelia DEMETER</w:t>
      </w:r>
    </w:p>
    <w:p w:rsidR="003A0043" w:rsidRPr="003A0043" w:rsidRDefault="003A0043" w:rsidP="003A00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231E" w:rsidRDefault="002D7AC8" w:rsidP="0017231E">
      <w:pPr>
        <w:shd w:val="clear" w:color="auto" w:fill="FFFFFF"/>
        <w:spacing w:before="100" w:beforeAutospacing="1" w:after="100" w:afterAutospacing="1" w:line="240" w:lineRule="auto"/>
        <w:ind w:left="125"/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</w:pPr>
      <w:proofErr w:type="spellStart"/>
      <w:r>
        <w:rPr>
          <w:rFonts w:ascii="Helvetica" w:hAnsi="Helvetica" w:cs="Helvetica"/>
          <w:b/>
          <w:color w:val="1D2228"/>
          <w:shd w:val="clear" w:color="auto" w:fill="FFFFFF"/>
        </w:rPr>
        <w:t>Bilanț</w:t>
      </w:r>
      <w:proofErr w:type="gramStart"/>
      <w:r>
        <w:rPr>
          <w:rFonts w:ascii="Helvetica" w:hAnsi="Helvetica" w:cs="Helvetica"/>
          <w:b/>
          <w:color w:val="1D2228"/>
          <w:shd w:val="clear" w:color="auto" w:fill="FFFFFF"/>
        </w:rPr>
        <w:t>ul</w:t>
      </w:r>
      <w:proofErr w:type="spellEnd"/>
      <w:r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proofErr w:type="spellStart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>Apei</w:t>
      </w:r>
      <w:proofErr w:type="spellEnd"/>
      <w:proofErr w:type="gramEnd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proofErr w:type="spellStart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>prin</w:t>
      </w:r>
      <w:proofErr w:type="spellEnd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 xml:space="preserve"> </w:t>
      </w:r>
      <w:proofErr w:type="spellStart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>metodologia</w:t>
      </w:r>
      <w:proofErr w:type="spellEnd"/>
      <w:r w:rsidR="00847E34" w:rsidRPr="00F65EC4">
        <w:rPr>
          <w:rFonts w:ascii="Helvetica" w:hAnsi="Helvetica" w:cs="Helvetica"/>
          <w:b/>
          <w:color w:val="1D2228"/>
          <w:shd w:val="clear" w:color="auto" w:fill="FFFFFF"/>
        </w:rPr>
        <w:t xml:space="preserve"> IWA</w:t>
      </w:r>
      <w:r w:rsidR="00847E34" w:rsidRPr="00F65EC4">
        <w:rPr>
          <w:rFonts w:ascii="Helvetica" w:hAnsi="Helvetica" w:cs="Helvetica"/>
          <w:b/>
          <w:color w:val="1D2228"/>
          <w:spacing w:val="-2"/>
          <w:shd w:val="clear" w:color="auto" w:fill="FFFFFF"/>
        </w:rPr>
        <w:t> </w:t>
      </w:r>
      <w:r w:rsidR="0017231E" w:rsidRPr="00F65EC4"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  <w:t> </w:t>
      </w:r>
      <w:proofErr w:type="spellStart"/>
      <w:r w:rsidR="00B970A6"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  <w:t>pe</w:t>
      </w:r>
      <w:proofErr w:type="spellEnd"/>
      <w:r w:rsidR="00B970A6"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  <w:t xml:space="preserve"> </w:t>
      </w:r>
      <w:proofErr w:type="spellStart"/>
      <w:r w:rsidR="00B970A6"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  <w:t>anul</w:t>
      </w:r>
      <w:proofErr w:type="spellEnd"/>
      <w:r w:rsidR="00B970A6">
        <w:rPr>
          <w:rFonts w:ascii="Helvetica" w:eastAsia="Times New Roman" w:hAnsi="Helvetica" w:cs="Helvetica"/>
          <w:b/>
          <w:color w:val="1D2228"/>
          <w:spacing w:val="-2"/>
          <w:sz w:val="24"/>
          <w:szCs w:val="24"/>
        </w:rPr>
        <w:t xml:space="preserve"> 2021</w:t>
      </w:r>
    </w:p>
    <w:p w:rsidR="003A0043" w:rsidRDefault="003A0043" w:rsidP="0017231E">
      <w:pPr>
        <w:shd w:val="clear" w:color="auto" w:fill="FFFFFF"/>
        <w:spacing w:before="100" w:beforeAutospacing="1" w:after="100" w:afterAutospacing="1" w:line="240" w:lineRule="auto"/>
        <w:ind w:left="125"/>
        <w:rPr>
          <w:rFonts w:ascii="Helvetica" w:eastAsia="Times New Roman" w:hAnsi="Helvetica" w:cs="Helvetica"/>
          <w:b/>
          <w:color w:val="1D2228"/>
          <w:sz w:val="20"/>
          <w:szCs w:val="20"/>
        </w:rPr>
      </w:pPr>
      <w:r>
        <w:rPr>
          <w:b/>
          <w:noProof/>
          <w:sz w:val="28"/>
          <w:szCs w:val="28"/>
        </w:rPr>
        <w:drawing>
          <wp:inline distT="0" distB="0" distL="0" distR="0" wp14:anchorId="08E5C7F5" wp14:editId="7234AA16">
            <wp:extent cx="2009775" cy="704850"/>
            <wp:effectExtent l="0" t="0" r="0" b="0"/>
            <wp:docPr id="1" name="Picture 1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0DE" w:rsidRDefault="00B410DE" w:rsidP="0017231E">
      <w:pPr>
        <w:shd w:val="clear" w:color="auto" w:fill="FFFFFF"/>
        <w:spacing w:before="100" w:beforeAutospacing="1" w:after="100" w:afterAutospacing="1" w:line="240" w:lineRule="auto"/>
        <w:ind w:left="125"/>
        <w:rPr>
          <w:rFonts w:ascii="Helvetica" w:eastAsia="Times New Roman" w:hAnsi="Helvetica" w:cs="Helvetica"/>
          <w:b/>
          <w:color w:val="1D2228"/>
          <w:sz w:val="20"/>
          <w:szCs w:val="20"/>
        </w:rPr>
      </w:pPr>
    </w:p>
    <w:p w:rsidR="00B410DE" w:rsidRDefault="00B410DE" w:rsidP="0017231E">
      <w:pPr>
        <w:shd w:val="clear" w:color="auto" w:fill="FFFFFF"/>
        <w:spacing w:before="100" w:beforeAutospacing="1" w:after="100" w:afterAutospacing="1" w:line="240" w:lineRule="auto"/>
        <w:ind w:left="125"/>
        <w:rPr>
          <w:rFonts w:ascii="Helvetica" w:eastAsia="Times New Roman" w:hAnsi="Helvetica" w:cs="Helvetica"/>
          <w:b/>
          <w:color w:val="1D2228"/>
          <w:sz w:val="20"/>
          <w:szCs w:val="20"/>
        </w:rPr>
      </w:pPr>
    </w:p>
    <w:tbl>
      <w:tblPr>
        <w:tblW w:w="10440" w:type="dxa"/>
        <w:tblInd w:w="-5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00"/>
        <w:gridCol w:w="1845"/>
        <w:gridCol w:w="3375"/>
        <w:gridCol w:w="1800"/>
      </w:tblGrid>
      <w:tr w:rsidR="0017231E" w:rsidRPr="003A0043" w:rsidTr="00F65EC4"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 </w:t>
            </w:r>
          </w:p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 </w:t>
            </w:r>
          </w:p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 </w:t>
            </w:r>
          </w:p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left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 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Volumul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apă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pacing w:val="-1"/>
                <w:sz w:val="24"/>
                <w:szCs w:val="24"/>
              </w:rPr>
              <w:t> 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intrat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în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r w:rsidR="005333FC"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system</w:t>
            </w:r>
          </w:p>
          <w:p w:rsidR="005333FC" w:rsidRPr="003A0043" w:rsidRDefault="005333FC" w:rsidP="005333FC">
            <w:pPr>
              <w:shd w:val="clear" w:color="auto" w:fill="FFFFFF"/>
              <w:tabs>
                <w:tab w:val="left" w:pos="1215"/>
              </w:tabs>
              <w:spacing w:before="100" w:beforeAutospacing="1" w:after="100" w:afterAutospacing="1" w:line="264" w:lineRule="atLeast"/>
              <w:ind w:left="5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  <w:t>748.602 mc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 </w:t>
            </w:r>
          </w:p>
          <w:p w:rsidR="0017231E" w:rsidRPr="003A0043" w:rsidRDefault="0017231E" w:rsidP="005333FC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 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autorizat</w:t>
            </w:r>
            <w:proofErr w:type="spellEnd"/>
          </w:p>
          <w:p w:rsidR="005333FC" w:rsidRPr="003A0043" w:rsidRDefault="005333FC" w:rsidP="00F65EC4">
            <w:pPr>
              <w:shd w:val="clear" w:color="auto" w:fill="FFFFFF"/>
              <w:spacing w:before="100" w:beforeAutospacing="1" w:after="100" w:afterAutospacing="1" w:line="254" w:lineRule="atLeast"/>
              <w:ind w:right="293" w:firstLine="5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  <w:t>496.218</w:t>
            </w:r>
            <w:r w:rsidR="00F65EC4"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  <w:t xml:space="preserve"> m</w:t>
            </w: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  <w:t>c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5" w:firstLine="5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autorizat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facturat</w:t>
            </w:r>
            <w:proofErr w:type="spellEnd"/>
          </w:p>
          <w:p w:rsidR="005333FC" w:rsidRPr="003A0043" w:rsidRDefault="005333FC" w:rsidP="00F65EC4">
            <w:pPr>
              <w:shd w:val="clear" w:color="auto" w:fill="FFFFFF"/>
              <w:spacing w:before="100" w:beforeAutospacing="1" w:after="100" w:afterAutospacing="1" w:line="254" w:lineRule="atLeast"/>
              <w:ind w:right="5" w:firstLine="5"/>
              <w:jc w:val="center"/>
              <w:rPr>
                <w:rFonts w:ascii="Times New Roman" w:eastAsia="Times New Roman" w:hAnsi="Times New Roman" w:cs="Times New Roman"/>
                <w:i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>477.968 mc</w:t>
            </w:r>
          </w:p>
        </w:tc>
        <w:tc>
          <w:tcPr>
            <w:tcW w:w="3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552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facturat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(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incluzând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apa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exportată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)</w:t>
            </w:r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54" w:lineRule="atLeast"/>
              <w:ind w:right="552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473.968 mc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221" w:firstLine="14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Volumul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apă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care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aduce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venit</w:t>
            </w:r>
            <w:proofErr w:type="spellEnd"/>
          </w:p>
          <w:p w:rsidR="00F65EC4" w:rsidRPr="003A0043" w:rsidRDefault="00F65EC4" w:rsidP="0017231E">
            <w:pPr>
              <w:shd w:val="clear" w:color="auto" w:fill="FFFFFF"/>
              <w:spacing w:before="100" w:beforeAutospacing="1" w:after="100" w:afterAutospacing="1" w:line="254" w:lineRule="atLeast"/>
              <w:ind w:right="221" w:firstLine="14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  <w:t>477.968 mc</w:t>
            </w:r>
          </w:p>
        </w:tc>
      </w:tr>
      <w:tr w:rsidR="0017231E" w:rsidRPr="003A0043" w:rsidTr="00F65EC4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necontorizat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facturat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4.008 mc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rPr>
          <w:trHeight w:val="538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5333FC" w:rsidP="005333FC">
            <w:pPr>
              <w:shd w:val="clear" w:color="auto" w:fill="FFFFFF"/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autorizat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nefacturat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59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>18.250 mc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nefacturat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0 mc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Volumul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apă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care nu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aduce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venit</w:t>
            </w:r>
            <w:proofErr w:type="spellEnd"/>
          </w:p>
          <w:p w:rsidR="00F65EC4" w:rsidRPr="003A0043" w:rsidRDefault="00F65EC4" w:rsidP="0017231E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  <w:p w:rsidR="00F65EC4" w:rsidRPr="003A0043" w:rsidRDefault="00F65EC4" w:rsidP="0017231E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  <w:p w:rsidR="00F65EC4" w:rsidRPr="003A0043" w:rsidRDefault="00F65EC4" w:rsidP="0017231E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  <w:p w:rsidR="00F65EC4" w:rsidRPr="003A0043" w:rsidRDefault="003D3A3C" w:rsidP="0017231E">
            <w:pPr>
              <w:shd w:val="clear" w:color="auto" w:fill="FFFFFF"/>
              <w:spacing w:before="100" w:beforeAutospacing="1" w:after="100" w:afterAutospacing="1" w:line="259" w:lineRule="atLeast"/>
              <w:ind w:right="192" w:firstLine="14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  <w:t>270.534</w:t>
            </w:r>
            <w:r w:rsidR="00F65EC4"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  <w:u w:val="single"/>
              </w:rPr>
              <w:t xml:space="preserve"> mc</w:t>
            </w:r>
          </w:p>
        </w:tc>
      </w:tr>
      <w:tr w:rsidR="0017231E" w:rsidRPr="003A0043" w:rsidTr="00F65EC4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necontorizat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nefacturat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18.250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 </w:t>
            </w:r>
          </w:p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Pierderi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apă</w:t>
            </w:r>
            <w:proofErr w:type="spellEnd"/>
          </w:p>
          <w:p w:rsidR="00F65EC4" w:rsidRPr="003A0043" w:rsidRDefault="00F65EC4" w:rsidP="0017231E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  <w:p w:rsidR="00F65EC4" w:rsidRPr="003A0043" w:rsidRDefault="003D3A3C" w:rsidP="00F65EC4">
            <w:pPr>
              <w:shd w:val="clear" w:color="auto" w:fill="FFFFFF"/>
              <w:spacing w:before="100" w:beforeAutospacing="1" w:after="100" w:afterAutospacing="1" w:line="264" w:lineRule="atLeast"/>
              <w:ind w:right="110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  <w:t>2</w:t>
            </w:r>
            <w:r w:rsidR="00F65EC4"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  <w:u w:val="single"/>
              </w:rPr>
              <w:t>52.284 mc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Pierderi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aparente</w:t>
            </w:r>
            <w:proofErr w:type="spellEnd"/>
          </w:p>
          <w:p w:rsidR="005333FC" w:rsidRPr="003A0043" w:rsidRDefault="003D3A3C" w:rsidP="00F65E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>2</w:t>
            </w:r>
            <w:r w:rsidR="005333FC"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>52.144</w:t>
            </w:r>
            <w:r w:rsidR="00F65EC4"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 xml:space="preserve"> mc</w:t>
            </w:r>
          </w:p>
          <w:p w:rsidR="005333FC" w:rsidRPr="003A0043" w:rsidRDefault="005333FC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Consum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neautorizat</w:t>
            </w:r>
            <w:proofErr w:type="spellEnd"/>
          </w:p>
          <w:p w:rsidR="005333FC" w:rsidRPr="003A0043" w:rsidRDefault="00394068" w:rsidP="005333F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252.0</w:t>
            </w:r>
            <w:r w:rsidR="005333FC"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44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rPr>
          <w:trHeight w:val="898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Inadvertenţe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contorizare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 xml:space="preserve">100 mc 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Pierderi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reale</w:t>
            </w:r>
            <w:proofErr w:type="spellEnd"/>
          </w:p>
          <w:p w:rsidR="00F65EC4" w:rsidRPr="003A0043" w:rsidRDefault="00F65EC4" w:rsidP="00F65E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</w:p>
          <w:p w:rsidR="00F65EC4" w:rsidRPr="003A0043" w:rsidRDefault="00F65EC4" w:rsidP="00F65EC4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i/>
                <w:color w:val="1D2228"/>
                <w:sz w:val="24"/>
                <w:szCs w:val="24"/>
              </w:rPr>
              <w:t>140 mc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538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Exfiltrări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din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conductele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transmisie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şi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/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sau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distribuţie</w:t>
            </w:r>
            <w:proofErr w:type="spellEnd"/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54" w:lineRule="atLeast"/>
              <w:ind w:right="538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0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64" w:lineRule="atLeast"/>
              <w:ind w:right="53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Pierderi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şi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revărsări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din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bazinele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de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stocare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din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reţea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.</w:t>
            </w:r>
          </w:p>
          <w:p w:rsidR="005333FC" w:rsidRPr="003A0043" w:rsidRDefault="005333FC" w:rsidP="005333FC">
            <w:pPr>
              <w:shd w:val="clear" w:color="auto" w:fill="FFFFFF"/>
              <w:spacing w:before="100" w:beforeAutospacing="1" w:after="100" w:afterAutospacing="1" w:line="264" w:lineRule="atLeast"/>
              <w:ind w:right="53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0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  <w:tr w:rsidR="0017231E" w:rsidRPr="003A0043" w:rsidTr="00F65EC4">
        <w:trPr>
          <w:trHeight w:val="790"/>
        </w:trPr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7231E" w:rsidRPr="003A0043" w:rsidRDefault="0017231E" w:rsidP="0017231E">
            <w:pPr>
              <w:shd w:val="clear" w:color="auto" w:fill="FFFFFF"/>
              <w:spacing w:before="100" w:beforeAutospacing="1" w:after="100" w:afterAutospacing="1" w:line="254" w:lineRule="atLeast"/>
              <w:ind w:right="43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Pierderi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la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branşamente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,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pâna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la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nivelul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contorului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 xml:space="preserve"> </w:t>
            </w:r>
            <w:proofErr w:type="spellStart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clientului</w:t>
            </w:r>
            <w:proofErr w:type="spellEnd"/>
            <w:r w:rsidRPr="003A0043"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  <w:t>.</w:t>
            </w:r>
          </w:p>
          <w:p w:rsidR="005333FC" w:rsidRPr="003A0043" w:rsidRDefault="003D3A3C" w:rsidP="005333FC">
            <w:pPr>
              <w:shd w:val="clear" w:color="auto" w:fill="FFFFFF"/>
              <w:spacing w:before="100" w:beforeAutospacing="1" w:after="100" w:afterAutospacing="1" w:line="254" w:lineRule="atLeast"/>
              <w:ind w:right="43"/>
              <w:jc w:val="center"/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</w:pPr>
            <w:r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14</w:t>
            </w:r>
            <w:r w:rsidR="005333FC" w:rsidRPr="003A0043">
              <w:rPr>
                <w:rFonts w:ascii="Times New Roman" w:eastAsia="Times New Roman" w:hAnsi="Times New Roman" w:cs="Times New Roman"/>
                <w:b/>
                <w:color w:val="1D2228"/>
                <w:sz w:val="24"/>
                <w:szCs w:val="24"/>
              </w:rPr>
              <w:t>0 mc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7231E" w:rsidRPr="003A0043" w:rsidRDefault="0017231E" w:rsidP="00172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2228"/>
                <w:sz w:val="24"/>
                <w:szCs w:val="24"/>
              </w:rPr>
            </w:pPr>
          </w:p>
        </w:tc>
      </w:tr>
    </w:tbl>
    <w:p w:rsidR="003A0043" w:rsidRPr="003A0043" w:rsidRDefault="003A0043" w:rsidP="0017231E">
      <w:pPr>
        <w:shd w:val="clear" w:color="auto" w:fill="FFFFFF"/>
        <w:spacing w:before="254" w:after="0" w:line="240" w:lineRule="auto"/>
        <w:ind w:left="106" w:firstLine="614"/>
        <w:jc w:val="both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:rsidR="0017231E" w:rsidRPr="003A0043" w:rsidRDefault="003A0043" w:rsidP="0017231E">
      <w:pPr>
        <w:shd w:val="clear" w:color="auto" w:fill="FFFFFF"/>
        <w:spacing w:before="254" w:after="0" w:line="240" w:lineRule="auto"/>
        <w:ind w:left="106" w:firstLine="614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T</w:t>
      </w:r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erminologia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şi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definiţia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componentelor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Balanţei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Apei</w:t>
      </w:r>
      <w:proofErr w:type="spellEnd"/>
      <w:r w:rsidR="0017231E" w:rsidRPr="003A0043"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, conform IWA</w:t>
      </w:r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:rsidR="0017231E" w:rsidRPr="003A0043" w:rsidRDefault="0017231E" w:rsidP="0017231E">
      <w:pPr>
        <w:shd w:val="clear" w:color="auto" w:fill="FFFFFF"/>
        <w:spacing w:before="259" w:after="0" w:line="259" w:lineRule="atLeast"/>
        <w:ind w:left="115" w:right="120" w:firstLine="686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apă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intrat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sistem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, 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este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anual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care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intră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alimentare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cu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adică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distribuţie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apei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)</w:t>
      </w:r>
    </w:p>
    <w:p w:rsidR="0017231E" w:rsidRPr="003A0043" w:rsidRDefault="0017231E" w:rsidP="0017231E">
      <w:pPr>
        <w:shd w:val="clear" w:color="auto" w:fill="FFFFFF"/>
        <w:spacing w:after="0" w:line="259" w:lineRule="atLeast"/>
        <w:ind w:left="115" w:right="120" w:firstLine="672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autorizat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, 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reprezintă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anual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/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sau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necontorizat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preluat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consumatorii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care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benflciează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acest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serviciu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Acesta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include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apa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exportată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alte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alimentare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cu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pierderile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exfiltraţiile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după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contorul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consumatorului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:rsidR="0017231E" w:rsidRPr="003A0043" w:rsidRDefault="0017231E" w:rsidP="0017231E">
      <w:pPr>
        <w:shd w:val="clear" w:color="auto" w:fill="FFFFFF"/>
        <w:spacing w:after="0" w:line="259" w:lineRule="atLeast"/>
        <w:ind w:left="110" w:right="110" w:firstLine="341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Apa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care nu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aduce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venit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, 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reprezintă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diferenţa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dintre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care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intră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autorizat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facturat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Apa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necontorizată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cuprinde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autorizat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nefacturat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pierderile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.</w:t>
      </w:r>
    </w:p>
    <w:p w:rsidR="0017231E" w:rsidRPr="003A0043" w:rsidRDefault="0017231E" w:rsidP="0017231E">
      <w:pPr>
        <w:shd w:val="clear" w:color="auto" w:fill="FFFFFF"/>
        <w:spacing w:after="0" w:line="259" w:lineRule="atLeast"/>
        <w:ind w:left="106" w:right="115" w:firstLine="677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autorizat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nefacturat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, 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reprezintă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anual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necontorizat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luat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din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distribuţie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pentru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stingerea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incendiilor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,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cişmele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publice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, etc.</w:t>
      </w:r>
    </w:p>
    <w:p w:rsidR="0017231E" w:rsidRPr="003A0043" w:rsidRDefault="0017231E" w:rsidP="0017231E">
      <w:pPr>
        <w:shd w:val="clear" w:color="auto" w:fill="FFFFFF"/>
        <w:spacing w:after="0" w:line="259" w:lineRule="atLeast"/>
        <w:ind w:left="110" w:right="110" w:firstLine="341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     </w:t>
      </w:r>
      <w:proofErr w:type="spell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Pierderile</w:t>
      </w:r>
      <w:proofErr w:type="spell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 xml:space="preserve"> 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apă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bCs/>
          <w:color w:val="1D2228"/>
          <w:sz w:val="24"/>
          <w:szCs w:val="24"/>
        </w:rPr>
        <w:t>, 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reprezintă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diferenţa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dintre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volumul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care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intră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în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sistem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autorizat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.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Pierderile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apă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sunt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formate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din:</w:t>
      </w:r>
    </w:p>
    <w:p w:rsidR="0017231E" w:rsidRPr="003A0043" w:rsidRDefault="0017231E" w:rsidP="0017231E">
      <w:pPr>
        <w:shd w:val="clear" w:color="auto" w:fill="FFFFFF"/>
        <w:spacing w:after="0" w:line="259" w:lineRule="atLeast"/>
        <w:ind w:left="446" w:right="130" w:firstLine="341"/>
        <w:jc w:val="both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- </w:t>
      </w:r>
      <w:proofErr w:type="spellStart"/>
      <w:proofErr w:type="gram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pierderi</w:t>
      </w:r>
      <w:proofErr w:type="spellEnd"/>
      <w:proofErr w:type="gram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aparente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</w:rPr>
        <w:t>,</w:t>
      </w: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 care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cuprind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consumul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neautorizat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(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furturi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)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şi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toate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erorile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de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citire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ale </w:t>
      </w:r>
      <w:proofErr w:type="spellStart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contoarelor</w:t>
      </w:r>
      <w:proofErr w:type="spellEnd"/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</w:rPr>
        <w:t>;</w:t>
      </w:r>
    </w:p>
    <w:p w:rsidR="0098774B" w:rsidRPr="003A0043" w:rsidRDefault="003A0043" w:rsidP="0017231E">
      <w:pPr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</w:pP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           </w:t>
      </w:r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-</w:t>
      </w:r>
      <w:r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 </w:t>
      </w:r>
      <w:proofErr w:type="spellStart"/>
      <w:proofErr w:type="gram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pierderile</w:t>
      </w:r>
      <w:proofErr w:type="spellEnd"/>
      <w:proofErr w:type="gram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reale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u w:val="single"/>
          <w:shd w:val="clear" w:color="auto" w:fill="FFFFFF"/>
        </w:rPr>
        <w:t>,</w:t>
      </w:r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 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reprezintă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volumele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anuale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pierdute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din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cauza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tuturor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tipurilor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de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pierderi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fizice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pâna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la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contorul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clientului</w:t>
      </w:r>
      <w:proofErr w:type="spellEnd"/>
      <w:r w:rsidR="0017231E" w:rsidRPr="003A0043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.</w:t>
      </w:r>
    </w:p>
    <w:p w:rsidR="003A0043" w:rsidRPr="003A0043" w:rsidRDefault="003A0043">
      <w:pPr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</w:pPr>
      <w:bookmarkStart w:id="0" w:name="_GoBack"/>
      <w:bookmarkEnd w:id="0"/>
    </w:p>
    <w:sectPr w:rsidR="003A0043" w:rsidRPr="003A0043" w:rsidSect="009877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A9" w:rsidRDefault="003454A9" w:rsidP="00FB0F06">
      <w:pPr>
        <w:spacing w:after="0" w:line="240" w:lineRule="auto"/>
      </w:pPr>
      <w:r>
        <w:separator/>
      </w:r>
    </w:p>
  </w:endnote>
  <w:endnote w:type="continuationSeparator" w:id="0">
    <w:p w:rsidR="003454A9" w:rsidRDefault="003454A9" w:rsidP="00FB0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2568047"/>
      <w:docPartObj>
        <w:docPartGallery w:val="Page Numbers (Bottom of Page)"/>
        <w:docPartUnique/>
      </w:docPartObj>
    </w:sdtPr>
    <w:sdtEndPr/>
    <w:sdtContent>
      <w:p w:rsidR="00FB0F06" w:rsidRDefault="00D2458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0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F06" w:rsidRPr="00FB0F06" w:rsidRDefault="00FB0F06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A9" w:rsidRDefault="003454A9" w:rsidP="00FB0F06">
      <w:pPr>
        <w:spacing w:after="0" w:line="240" w:lineRule="auto"/>
      </w:pPr>
      <w:r>
        <w:separator/>
      </w:r>
    </w:p>
  </w:footnote>
  <w:footnote w:type="continuationSeparator" w:id="0">
    <w:p w:rsidR="003454A9" w:rsidRDefault="003454A9" w:rsidP="00FB0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31E"/>
    <w:rsid w:val="0005431E"/>
    <w:rsid w:val="00134C3D"/>
    <w:rsid w:val="0017231E"/>
    <w:rsid w:val="002D53A6"/>
    <w:rsid w:val="002D7AC8"/>
    <w:rsid w:val="003454A9"/>
    <w:rsid w:val="00394068"/>
    <w:rsid w:val="003A0043"/>
    <w:rsid w:val="003D3A3C"/>
    <w:rsid w:val="005333FC"/>
    <w:rsid w:val="005B71F9"/>
    <w:rsid w:val="006A1DFF"/>
    <w:rsid w:val="006C2AEA"/>
    <w:rsid w:val="0071460C"/>
    <w:rsid w:val="00746D02"/>
    <w:rsid w:val="00847E34"/>
    <w:rsid w:val="00964BCD"/>
    <w:rsid w:val="0098774B"/>
    <w:rsid w:val="00A301AE"/>
    <w:rsid w:val="00B410DE"/>
    <w:rsid w:val="00B44A5A"/>
    <w:rsid w:val="00B970A6"/>
    <w:rsid w:val="00BD5C76"/>
    <w:rsid w:val="00CA454D"/>
    <w:rsid w:val="00CE632A"/>
    <w:rsid w:val="00D24585"/>
    <w:rsid w:val="00E625ED"/>
    <w:rsid w:val="00E726F8"/>
    <w:rsid w:val="00F65EC4"/>
    <w:rsid w:val="00F83028"/>
    <w:rsid w:val="00FB0F06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yiv9395804526msonormal">
    <w:name w:val="yiv9395804526msonormal"/>
    <w:basedOn w:val="Normal"/>
    <w:rsid w:val="0017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B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0F06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FB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B0F06"/>
  </w:style>
  <w:style w:type="paragraph" w:styleId="Subsol">
    <w:name w:val="footer"/>
    <w:basedOn w:val="Normal"/>
    <w:link w:val="SubsolCaracter"/>
    <w:uiPriority w:val="99"/>
    <w:unhideWhenUsed/>
    <w:rsid w:val="00FB0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B0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6</cp:revision>
  <cp:lastPrinted>2022-10-25T10:46:00Z</cp:lastPrinted>
  <dcterms:created xsi:type="dcterms:W3CDTF">2022-10-17T07:03:00Z</dcterms:created>
  <dcterms:modified xsi:type="dcterms:W3CDTF">2022-10-25T12:01:00Z</dcterms:modified>
</cp:coreProperties>
</file>