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7A98" w14:textId="77777777" w:rsidR="00765E47" w:rsidRPr="00C52621" w:rsidRDefault="00765E47" w:rsidP="00765E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2621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43F10AA9" w14:textId="77777777" w:rsidR="00765E47" w:rsidRPr="00C52621" w:rsidRDefault="00765E47" w:rsidP="00765E47">
      <w:pPr>
        <w:tabs>
          <w:tab w:val="left" w:pos="7940"/>
        </w:tabs>
        <w:spacing w:after="0"/>
        <w:ind w:right="-360"/>
        <w:rPr>
          <w:rFonts w:ascii="Tahoma" w:hAnsi="Tahoma" w:cs="Tahoma"/>
          <w:b/>
          <w:bCs/>
          <w:lang w:val="it-IT"/>
        </w:rPr>
      </w:pPr>
      <w:r w:rsidRPr="00C52621">
        <w:rPr>
          <w:rFonts w:ascii="Tahoma" w:hAnsi="Tahoma" w:cs="Tahoma"/>
          <w:noProof/>
          <w:lang w:eastAsia="ro-RO"/>
        </w:rPr>
        <w:drawing>
          <wp:anchor distT="0" distB="0" distL="114300" distR="114300" simplePos="0" relativeHeight="251673600" behindDoc="0" locked="0" layoutInCell="1" allowOverlap="1" wp14:anchorId="7611D18F" wp14:editId="24A14D38">
            <wp:simplePos x="0" y="0"/>
            <wp:positionH relativeFrom="column">
              <wp:posOffset>228600</wp:posOffset>
            </wp:positionH>
            <wp:positionV relativeFrom="paragraph">
              <wp:posOffset>68580</wp:posOffset>
            </wp:positionV>
            <wp:extent cx="659130" cy="790575"/>
            <wp:effectExtent l="19050" t="0" r="7620" b="0"/>
            <wp:wrapSquare wrapText="right"/>
            <wp:docPr id="8" name="Picture 2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2621">
        <w:rPr>
          <w:rFonts w:ascii="Tahoma" w:hAnsi="Tahoma" w:cs="Tahoma"/>
        </w:rPr>
        <w:fldChar w:fldCharType="begin"/>
      </w:r>
      <w:r w:rsidRPr="00C52621">
        <w:rPr>
          <w:rFonts w:ascii="Tahoma" w:hAnsi="Tahoma" w:cs="Tahoma"/>
          <w:lang w:val="it-IT"/>
        </w:rPr>
        <w:instrText xml:space="preserve"> INCLUDEPICTURE "https://upload.wikimedia.org/wikipedia/commons/thumb/7/70/Coat_of_arms_of_Romania.svg/250px-Coat_of_arms_of_Romania.svg.png" \* MERGEFORMATINET </w:instrText>
      </w:r>
      <w:r w:rsidRPr="00C52621">
        <w:rPr>
          <w:rFonts w:ascii="Tahoma" w:hAnsi="Tahoma" w:cs="Tahoma"/>
        </w:rPr>
        <w:fldChar w:fldCharType="end"/>
      </w:r>
      <w:r w:rsidRPr="00C52621">
        <w:rPr>
          <w:rFonts w:ascii="Tahoma" w:hAnsi="Tahoma" w:cs="Tahoma"/>
          <w:lang w:val="it-IT"/>
        </w:rPr>
        <w:tab/>
      </w:r>
      <w:r w:rsidRPr="00C52621">
        <w:rPr>
          <w:rFonts w:ascii="Tahoma" w:hAnsi="Tahoma" w:cs="Tahoma"/>
          <w:b/>
          <w:bCs/>
          <w:lang w:val="it-IT"/>
        </w:rPr>
        <w:br w:type="textWrapping" w:clear="all"/>
        <w:t xml:space="preserve"> COMUNA LIVEZILE</w:t>
      </w:r>
    </w:p>
    <w:p w14:paraId="1132CF63" w14:textId="77777777" w:rsidR="00765E47" w:rsidRPr="00C52621" w:rsidRDefault="00765E47" w:rsidP="00765E47">
      <w:pPr>
        <w:tabs>
          <w:tab w:val="center" w:pos="4703"/>
          <w:tab w:val="right" w:pos="9406"/>
        </w:tabs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ro-RO"/>
        </w:rPr>
      </w:pPr>
      <w:r w:rsidRPr="00C52621">
        <w:rPr>
          <w:rFonts w:ascii="Tahoma" w:eastAsia="Times New Roman" w:hAnsi="Tahoma" w:cs="Tahoma"/>
          <w:b/>
          <w:bCs/>
          <w:sz w:val="24"/>
          <w:szCs w:val="24"/>
          <w:lang w:val="it-IT" w:eastAsia="ro-RO"/>
        </w:rPr>
        <w:t xml:space="preserve"> JUDEŢUL BISTRIŢA-NĂSĂUD</w:t>
      </w:r>
      <w:r w:rsidRPr="00C52621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      </w:t>
      </w:r>
    </w:p>
    <w:p w14:paraId="1F822118" w14:textId="7CD7E34F" w:rsidR="00AF2186" w:rsidRDefault="00765E47" w:rsidP="00AF2186">
      <w:pPr>
        <w:autoSpaceDE w:val="0"/>
        <w:autoSpaceDN w:val="0"/>
        <w:adjustRightInd w:val="0"/>
        <w:jc w:val="right"/>
        <w:rPr>
          <w:b/>
          <w:bCs/>
        </w:rPr>
      </w:pPr>
      <w:r w:rsidRPr="00C52621">
        <w:rPr>
          <w:rFonts w:ascii="Tahoma" w:hAnsi="Tahoma" w:cs="Tahoma"/>
          <w:b/>
          <w:bCs/>
        </w:rPr>
        <w:t xml:space="preserve">  </w:t>
      </w:r>
      <w:r w:rsidR="00AF2186" w:rsidRPr="00B130A0">
        <w:rPr>
          <w:b/>
          <w:bCs/>
        </w:rPr>
        <w:t xml:space="preserve">                                                                          </w:t>
      </w:r>
      <w:r w:rsidR="00AF2186">
        <w:rPr>
          <w:b/>
          <w:bCs/>
        </w:rPr>
        <w:t xml:space="preserve">                    </w:t>
      </w:r>
      <w:r w:rsidR="00AF2186" w:rsidRPr="00B130A0">
        <w:rPr>
          <w:b/>
          <w:bCs/>
        </w:rPr>
        <w:t xml:space="preserve">   </w:t>
      </w:r>
      <w:r w:rsidR="00AF2186">
        <w:rPr>
          <w:b/>
          <w:bCs/>
        </w:rPr>
        <w:t xml:space="preserve">Anexa nr. </w:t>
      </w:r>
      <w:r w:rsidR="005F3140">
        <w:rPr>
          <w:b/>
          <w:bCs/>
        </w:rPr>
        <w:t>2</w:t>
      </w:r>
    </w:p>
    <w:p w14:paraId="5E3C5EC6" w14:textId="77777777" w:rsidR="00AF2186" w:rsidRPr="00B130A0" w:rsidRDefault="00AF2186" w:rsidP="00AF2186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Proiectul de hotărâre nr. 2/13.01.2025, inițiat de primarul comunei Livezile</w:t>
      </w:r>
    </w:p>
    <w:p w14:paraId="654AC235" w14:textId="4D0CAF97" w:rsidR="00765E47" w:rsidRDefault="00765E47" w:rsidP="00765E47">
      <w:pP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b/>
          <w:bCs/>
        </w:rPr>
      </w:pPr>
    </w:p>
    <w:p w14:paraId="000962C5" w14:textId="77777777" w:rsidR="00AE63EA" w:rsidRPr="00C52621" w:rsidRDefault="00AE63EA" w:rsidP="00765E4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1EC82E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</w:pPr>
      <w:r w:rsidRPr="00AE63EA"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  <w:t xml:space="preserve">PLANUL ANUAL DE ACŢIUNE </w:t>
      </w:r>
    </w:p>
    <w:p w14:paraId="2651AFC7" w14:textId="77777777" w:rsidR="00AF2186" w:rsidRDefault="00AF2186" w:rsidP="00A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dezvoltare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serviciilor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la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nivelul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AE63EA"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omunei</w:t>
      </w:r>
      <w:proofErr w:type="spellEnd"/>
      <w:r w:rsidR="00AE63EA"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Livezile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,</w:t>
      </w:r>
    </w:p>
    <w:p w14:paraId="4EF2516C" w14:textId="692AB43E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pentru anul 202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</w:p>
    <w:p w14:paraId="412A7305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</w:t>
      </w:r>
    </w:p>
    <w:p w14:paraId="148B65D4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2CE35C8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Având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vedere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7BF2033C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1.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Strategia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dezvoltare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perioada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</w:t>
      </w:r>
      <w:r w:rsidR="008D0CDC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-202</w:t>
      </w:r>
      <w:r w:rsidR="008D0CDC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,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aprobată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Hotărârea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="00A746F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8D0CD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nr.     </w:t>
      </w:r>
      <w:proofErr w:type="gram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r w:rsidR="008D0CD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respectiv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următoarele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obiective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operaţionale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direcţiile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acţiune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0E72FCE0" w14:textId="77777777" w:rsidR="00AE63EA" w:rsidRPr="00AE63EA" w:rsidRDefault="00AE63EA" w:rsidP="00AE6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a)</w:t>
      </w:r>
      <w:r w:rsidRPr="00AE63E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Pr="00AE63EA">
        <w:rPr>
          <w:rFonts w:ascii="Times New Roman" w:eastAsia="Calibri" w:hAnsi="Times New Roman" w:cs="Times New Roman"/>
          <w:sz w:val="28"/>
          <w:szCs w:val="28"/>
        </w:rPr>
        <w:t>Dezvoltarea unui pachet integrat de servicii care să răspundă nevoilor fiecărui membru al comunităţii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C5BDC63" w14:textId="77777777" w:rsidR="00AE63EA" w:rsidRPr="00AE63EA" w:rsidRDefault="00AE63EA" w:rsidP="00AE6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b) P</w:t>
      </w:r>
      <w:r w:rsidRPr="00AE63EA">
        <w:rPr>
          <w:rFonts w:ascii="Times New Roman" w:eastAsia="Calibri" w:hAnsi="Times New Roman" w:cs="Times New Roman"/>
          <w:sz w:val="28"/>
          <w:szCs w:val="28"/>
        </w:rPr>
        <w:t>rofesionalizarea sistemului de asistenţă socială;</w:t>
      </w:r>
    </w:p>
    <w:p w14:paraId="1B22B8F4" w14:textId="77777777" w:rsidR="00AE63EA" w:rsidRPr="00AE63EA" w:rsidRDefault="00AE63EA" w:rsidP="00AE63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>c)</w:t>
      </w:r>
      <w:r w:rsidRPr="00AE63E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Pr="00AE63EA">
        <w:rPr>
          <w:rFonts w:ascii="Times New Roman" w:eastAsia="Calibri" w:hAnsi="Times New Roman" w:cs="Times New Roman"/>
          <w:sz w:val="28"/>
          <w:szCs w:val="28"/>
        </w:rPr>
        <w:t>Implicarea comunităţii şi mobilizarea resurselor comunitare;</w:t>
      </w:r>
    </w:p>
    <w:p w14:paraId="1E1E2D34" w14:textId="77777777" w:rsidR="000B34DF" w:rsidRDefault="008A4F82" w:rsidP="008A4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3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4DF" w:rsidRPr="000B34DF">
        <w:rPr>
          <w:rFonts w:ascii="Times New Roman" w:hAnsi="Times New Roman" w:cs="Times New Roman"/>
          <w:sz w:val="28"/>
          <w:szCs w:val="28"/>
        </w:rPr>
        <w:t>Strategia naţională privind incluziunea socială şi reducerea sărăciei  pentru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4DF" w:rsidRPr="000B34DF">
        <w:rPr>
          <w:rFonts w:ascii="Times New Roman" w:hAnsi="Times New Roman" w:cs="Times New Roman"/>
          <w:sz w:val="28"/>
          <w:szCs w:val="28"/>
        </w:rPr>
        <w:t>perioada 2022-2027</w:t>
      </w:r>
      <w:r w:rsidR="000B34DF" w:rsidRPr="000B34DF">
        <w:rPr>
          <w:rFonts w:ascii="Times New Roman" w:eastAsia="Calibri" w:hAnsi="Times New Roman" w:cs="Times New Roman"/>
          <w:sz w:val="28"/>
          <w:szCs w:val="28"/>
        </w:rPr>
        <w:t xml:space="preserve"> aprobată prin Hotărârea Guvernului nr.440/2022;</w:t>
      </w:r>
    </w:p>
    <w:p w14:paraId="06B8DF16" w14:textId="77777777" w:rsidR="00AE63EA" w:rsidRPr="00AE63EA" w:rsidRDefault="00AE63EA" w:rsidP="000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="008A4F82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Programul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interes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naţional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aprobat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Hotărârea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Guvernului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383/27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2015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aprobarea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Strategiei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naţionale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incluziunea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reducerea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sărăciei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perioada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2015-2020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Planului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strategic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acţiuni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perioada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2015-2020;</w:t>
      </w:r>
    </w:p>
    <w:p w14:paraId="7D53157F" w14:textId="77777777" w:rsidR="00AE63EA" w:rsidRPr="00AE63EA" w:rsidRDefault="00AE63EA" w:rsidP="000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Planul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anual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acţiune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administrate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finanţate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bugetul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gram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al 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Comunei</w:t>
      </w:r>
      <w:proofErr w:type="spellEnd"/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cuprinde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776CA66A" w14:textId="77777777" w:rsidR="00AE63EA" w:rsidRPr="00AE63EA" w:rsidRDefault="00AE63EA" w:rsidP="000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1. Date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administrarea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înfiinţarea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finanţarea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capitolul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I;</w:t>
      </w:r>
    </w:p>
    <w:p w14:paraId="1E392553" w14:textId="77777777" w:rsidR="00AE63EA" w:rsidRPr="00AE63EA" w:rsidRDefault="00AE63EA" w:rsidP="000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2.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Planificarea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activităţilor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existente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nivel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-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capitolul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II;</w:t>
      </w:r>
    </w:p>
    <w:p w14:paraId="11599B86" w14:textId="77777777" w:rsidR="00AE63EA" w:rsidRPr="00AE63EA" w:rsidRDefault="00AE63EA" w:rsidP="000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3.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Programul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îndrumare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metodologică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personalului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lucrează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domeniul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capitolul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III.</w:t>
      </w:r>
    </w:p>
    <w:p w14:paraId="35B02A43" w14:textId="77777777" w:rsidR="00B36300" w:rsidRDefault="00AE63EA" w:rsidP="00AE63EA">
      <w:pPr>
        <w:autoSpaceDE w:val="0"/>
        <w:autoSpaceDN w:val="0"/>
        <w:adjustRightInd w:val="0"/>
        <w:spacing w:after="0" w:line="240" w:lineRule="auto"/>
        <w:ind w:left="-630" w:firstLine="63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</w:t>
      </w:r>
    </w:p>
    <w:p w14:paraId="42522A3A" w14:textId="77777777" w:rsidR="00B36300" w:rsidRDefault="00B36300" w:rsidP="00AE63EA">
      <w:pPr>
        <w:autoSpaceDE w:val="0"/>
        <w:autoSpaceDN w:val="0"/>
        <w:adjustRightInd w:val="0"/>
        <w:spacing w:after="0" w:line="240" w:lineRule="auto"/>
        <w:ind w:left="-630" w:firstLine="63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52ABD66" w14:textId="77777777" w:rsidR="003C7EDE" w:rsidRPr="00827A55" w:rsidRDefault="003C7EDE" w:rsidP="003C7EDE">
      <w:pPr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  <w:r w:rsidRPr="00827A55">
        <w:rPr>
          <w:rFonts w:ascii="Tahoma" w:hAnsi="Tahoma" w:cs="Tahoma"/>
          <w:i/>
          <w:sz w:val="20"/>
          <w:szCs w:val="20"/>
          <w:lang w:val="it-IT"/>
        </w:rPr>
        <w:t>Sat Livezile, nr.161, 427120, Telefon: 0263/270034 Fax: 0263/270034,</w:t>
      </w:r>
      <w:r w:rsidRPr="00827A55">
        <w:rPr>
          <w:rFonts w:ascii="Tahoma" w:hAnsi="Tahoma" w:cs="Tahoma"/>
          <w:i/>
          <w:sz w:val="20"/>
          <w:szCs w:val="20"/>
        </w:rPr>
        <w:t xml:space="preserve">e-mail:        primarie@primarialivezilebn.ro, website: </w:t>
      </w:r>
      <w:hyperlink r:id="rId8" w:history="1">
        <w:r w:rsidRPr="00827A55">
          <w:rPr>
            <w:rFonts w:ascii="Tahoma" w:hAnsi="Tahoma" w:cs="Tahoma"/>
            <w:i/>
            <w:color w:val="0000FF"/>
            <w:sz w:val="20"/>
            <w:szCs w:val="20"/>
            <w:u w:val="single"/>
          </w:rPr>
          <w:t>https://www.primarialivezilebn.ro</w:t>
        </w:r>
      </w:hyperlink>
    </w:p>
    <w:p w14:paraId="33B0D317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-630" w:firstLine="63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>CAP. I</w:t>
      </w:r>
    </w:p>
    <w:p w14:paraId="219ED573" w14:textId="77777777" w:rsid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Administrarea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înfiinţarea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finanţarea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</w:p>
    <w:p w14:paraId="656F6A2D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E493289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Beneficiarii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serviciilor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grupuri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vulnerabile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identificate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924AB14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C3FB19" w14:textId="77777777" w:rsidR="004F659B" w:rsidRPr="00C7148A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148A">
        <w:rPr>
          <w:rFonts w:ascii="Times New Roman" w:eastAsia="Calibri" w:hAnsi="Times New Roman" w:cs="Times New Roman"/>
          <w:b/>
          <w:sz w:val="28"/>
          <w:szCs w:val="28"/>
        </w:rPr>
        <w:t>1.Copiii și familiile aflate în dificultate identificate sunt:</w:t>
      </w:r>
    </w:p>
    <w:p w14:paraId="6F84F04E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-tinerii provenind din sistemul de protecție a copilului</w:t>
      </w:r>
    </w:p>
    <w:p w14:paraId="5A03D4D9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- familii monoparentale </w:t>
      </w:r>
    </w:p>
    <w:p w14:paraId="6009740E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-familii tinere</w:t>
      </w:r>
    </w:p>
    <w:p w14:paraId="65B61427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-copii cu părinți plecați la muncă în străinătate</w:t>
      </w:r>
    </w:p>
    <w:p w14:paraId="152FF88F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>-mame singure, minore/dizabilități</w:t>
      </w:r>
    </w:p>
    <w:p w14:paraId="6C5F3800" w14:textId="77777777" w:rsidR="004F659B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Problemele sociale ale copiilor și familiilor aflate în dificultate sunt:</w:t>
      </w:r>
    </w:p>
    <w:p w14:paraId="1BF43EBB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-resurse finnaciare insuficiente și dificultăți în gestionarea lor</w:t>
      </w:r>
    </w:p>
    <w:p w14:paraId="0417409D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-dificultăți în găsirea unui loc de muncă</w:t>
      </w:r>
    </w:p>
    <w:p w14:paraId="0B166EC0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-familii cu climat social defavorabil</w:t>
      </w:r>
    </w:p>
    <w:p w14:paraId="76A37990" w14:textId="77777777" w:rsidR="004F659B" w:rsidRDefault="004F659B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-probleme de sănătate</w:t>
      </w:r>
    </w:p>
    <w:p w14:paraId="787B83E4" w14:textId="77777777" w:rsidR="00C7148A" w:rsidRDefault="00C7148A" w:rsidP="004F65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57FC853" w14:textId="77777777" w:rsidR="004F659B" w:rsidRPr="00C7148A" w:rsidRDefault="004F659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148A">
        <w:rPr>
          <w:rFonts w:ascii="Times New Roman" w:eastAsia="Calibri" w:hAnsi="Times New Roman" w:cs="Times New Roman"/>
          <w:b/>
          <w:sz w:val="28"/>
          <w:szCs w:val="28"/>
        </w:rPr>
        <w:t>2.Persoane vârstnice</w:t>
      </w:r>
    </w:p>
    <w:p w14:paraId="0234F3CB" w14:textId="77777777" w:rsidR="004F659B" w:rsidRDefault="0009531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Problemele sociale ale persoanelor vîrstnice sunt:</w:t>
      </w:r>
    </w:p>
    <w:p w14:paraId="44796BD7" w14:textId="77777777" w:rsidR="0009531B" w:rsidRDefault="0009531B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-sănătate precară</w:t>
      </w:r>
    </w:p>
    <w:p w14:paraId="012B00B0" w14:textId="77777777" w:rsidR="0009531B" w:rsidRDefault="0009531B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-venituri mici în raport cu necesitățile</w:t>
      </w:r>
    </w:p>
    <w:p w14:paraId="69C6016E" w14:textId="77777777" w:rsidR="0009531B" w:rsidRDefault="0009531B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-izolare, singurătate</w:t>
      </w:r>
    </w:p>
    <w:p w14:paraId="6C31BA37" w14:textId="77777777" w:rsidR="0009531B" w:rsidRDefault="0009531B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-capacitatea scăzută de autogospodărire</w:t>
      </w:r>
    </w:p>
    <w:p w14:paraId="4AC1D2CE" w14:textId="77777777" w:rsidR="0009531B" w:rsidRDefault="0009531B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-absența suportului din partea familiei persoanei vârstnice</w:t>
      </w:r>
    </w:p>
    <w:p w14:paraId="08C10860" w14:textId="77777777" w:rsidR="00C7148A" w:rsidRDefault="00C7148A" w:rsidP="000953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06AEEB0" w14:textId="77777777" w:rsidR="004F659B" w:rsidRPr="00C7148A" w:rsidRDefault="0009531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148A">
        <w:rPr>
          <w:rFonts w:ascii="Times New Roman" w:eastAsia="Calibri" w:hAnsi="Times New Roman" w:cs="Times New Roman"/>
          <w:b/>
          <w:sz w:val="28"/>
          <w:szCs w:val="28"/>
        </w:rPr>
        <w:t>3. Persoane cu handicap(minori/adulți)</w:t>
      </w:r>
    </w:p>
    <w:p w14:paraId="5153CF65" w14:textId="77777777" w:rsidR="0009531B" w:rsidRDefault="0009531B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Problemele sociale ale persoanelor cu handicap sunt</w:t>
      </w:r>
      <w:r w:rsidR="00E4357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484078" w14:textId="77777777" w:rsidR="0009531B" w:rsidRDefault="0009531B" w:rsidP="00E435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-situația materială precară</w:t>
      </w:r>
    </w:p>
    <w:p w14:paraId="49DDE8DA" w14:textId="77777777" w:rsidR="0009531B" w:rsidRDefault="0009531B" w:rsidP="00E435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-absența suportului pentru familia care are în întreținere persoana cu handicap</w:t>
      </w:r>
    </w:p>
    <w:p w14:paraId="613AC1F1" w14:textId="77777777" w:rsidR="0009531B" w:rsidRDefault="00E4357D" w:rsidP="00E435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-atitudinea discriminatorie a societății</w:t>
      </w:r>
    </w:p>
    <w:p w14:paraId="262F3715" w14:textId="77777777" w:rsidR="00C7148A" w:rsidRDefault="00C7148A" w:rsidP="00E4357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C60F61E" w14:textId="77777777" w:rsidR="00E4357D" w:rsidRDefault="00E4357D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148A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D24D7F" w:rsidRPr="00C7148A">
        <w:rPr>
          <w:rFonts w:ascii="Times New Roman" w:eastAsia="Calibri" w:hAnsi="Times New Roman" w:cs="Times New Roman"/>
          <w:b/>
          <w:sz w:val="28"/>
          <w:szCs w:val="28"/>
        </w:rPr>
        <w:t>Tipurile de situații de dificultate, vulnerabile, dependente sau în risc social și estimarea numărului de beneficiari</w:t>
      </w:r>
    </w:p>
    <w:p w14:paraId="2ECEE6C5" w14:textId="77777777" w:rsidR="00D24D7F" w:rsidRDefault="00D24D7F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-persoane cu dizabilități adulți- handicap grav</w:t>
      </w:r>
      <w:r w:rsidR="00C7148A">
        <w:rPr>
          <w:rFonts w:ascii="Times New Roman" w:eastAsia="Calibri" w:hAnsi="Times New Roman" w:cs="Times New Roman"/>
          <w:sz w:val="28"/>
          <w:szCs w:val="28"/>
        </w:rPr>
        <w:t>-106</w:t>
      </w:r>
    </w:p>
    <w:p w14:paraId="5277CF6F" w14:textId="77777777" w:rsidR="00D24D7F" w:rsidRDefault="00D24D7F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-copii cu dizabilități</w:t>
      </w:r>
      <w:r w:rsidR="00C7148A">
        <w:rPr>
          <w:rFonts w:ascii="Times New Roman" w:eastAsia="Calibri" w:hAnsi="Times New Roman" w:cs="Times New Roman"/>
          <w:sz w:val="28"/>
          <w:szCs w:val="28"/>
        </w:rPr>
        <w:t>-25</w:t>
      </w:r>
    </w:p>
    <w:p w14:paraId="595DB42F" w14:textId="77777777" w:rsidR="00D24D7F" w:rsidRDefault="00D24D7F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-familii cu venturi insuficiente</w:t>
      </w:r>
      <w:r w:rsidR="00C714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benefici</w:t>
      </w:r>
      <w:r w:rsidR="00C7148A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ri de vmi</w:t>
      </w:r>
      <w:r w:rsidR="00C7148A">
        <w:rPr>
          <w:rFonts w:ascii="Times New Roman" w:eastAsia="Calibri" w:hAnsi="Times New Roman" w:cs="Times New Roman"/>
          <w:sz w:val="28"/>
          <w:szCs w:val="28"/>
        </w:rPr>
        <w:t>-80</w:t>
      </w:r>
    </w:p>
    <w:p w14:paraId="7AD64743" w14:textId="77777777" w:rsidR="00D24D7F" w:rsidRDefault="00D24D7F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-copii cu părinți plecați la muncă în străinătate</w:t>
      </w:r>
      <w:r w:rsidR="00C7148A">
        <w:rPr>
          <w:rFonts w:ascii="Times New Roman" w:eastAsia="Calibri" w:hAnsi="Times New Roman" w:cs="Times New Roman"/>
          <w:sz w:val="28"/>
          <w:szCs w:val="28"/>
        </w:rPr>
        <w:t>-25</w:t>
      </w:r>
    </w:p>
    <w:p w14:paraId="0978CD87" w14:textId="77777777" w:rsidR="0076683C" w:rsidRDefault="003C35DF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-persoane vârstnice vulnerabile-35</w:t>
      </w:r>
    </w:p>
    <w:p w14:paraId="7A717501" w14:textId="77777777" w:rsidR="00AE3596" w:rsidRDefault="00AE3596" w:rsidP="00C714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DA293B5" w14:textId="77777777" w:rsidR="004F659B" w:rsidRDefault="003C7EDE" w:rsidP="003C7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27A55">
        <w:rPr>
          <w:rFonts w:ascii="Tahoma" w:hAnsi="Tahoma" w:cs="Tahoma"/>
          <w:i/>
          <w:sz w:val="20"/>
          <w:szCs w:val="20"/>
          <w:lang w:val="it-IT"/>
        </w:rPr>
        <w:lastRenderedPageBreak/>
        <w:t>Sat Livezile, nr.161, 427120, Telefon: 0263/270034 Fax: 0263/270034,</w:t>
      </w:r>
      <w:r w:rsidRPr="00827A55">
        <w:rPr>
          <w:rFonts w:ascii="Tahoma" w:hAnsi="Tahoma" w:cs="Tahoma"/>
          <w:i/>
          <w:sz w:val="20"/>
          <w:szCs w:val="20"/>
        </w:rPr>
        <w:t xml:space="preserve">e-mail:        primarie@primarialivezilebn.ro, website: </w:t>
      </w:r>
      <w:hyperlink r:id="rId9" w:history="1">
        <w:r w:rsidRPr="00827A55">
          <w:rPr>
            <w:rFonts w:ascii="Tahoma" w:hAnsi="Tahoma" w:cs="Tahoma"/>
            <w:i/>
            <w:color w:val="0000FF"/>
            <w:sz w:val="20"/>
            <w:szCs w:val="20"/>
            <w:u w:val="single"/>
          </w:rPr>
          <w:t>https://www.primarialivezilebn.ro</w:t>
        </w:r>
      </w:hyperlink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</w:t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r w:rsidR="00D24D7F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</w:p>
    <w:p w14:paraId="110979C6" w14:textId="77777777" w:rsidR="00AE63EA" w:rsidRPr="00AE63EA" w:rsidRDefault="00AE63EA" w:rsidP="00AE6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existente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nivel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local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</w:p>
    <w:p w14:paraId="33914D83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401"/>
        <w:gridCol w:w="1276"/>
        <w:gridCol w:w="709"/>
        <w:gridCol w:w="850"/>
        <w:gridCol w:w="851"/>
        <w:gridCol w:w="850"/>
        <w:gridCol w:w="992"/>
        <w:gridCol w:w="1134"/>
        <w:gridCol w:w="1418"/>
      </w:tblGrid>
      <w:tr w:rsidR="00AE63EA" w:rsidRPr="00AE63EA" w14:paraId="55A9A4ED" w14:textId="77777777" w:rsidTr="00AE63EA">
        <w:trPr>
          <w:trHeight w:val="332"/>
        </w:trPr>
        <w:tc>
          <w:tcPr>
            <w:tcW w:w="550" w:type="dxa"/>
            <w:vMerge w:val="restart"/>
            <w:shd w:val="clear" w:color="auto" w:fill="auto"/>
          </w:tcPr>
          <w:p w14:paraId="68577759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Nr.</w:t>
            </w:r>
          </w:p>
          <w:p w14:paraId="7E8A8C96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Crt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</w:tcPr>
          <w:p w14:paraId="24404EFB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Cod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serviciu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social,conform</w:t>
            </w:r>
            <w:proofErr w:type="spellEnd"/>
          </w:p>
          <w:p w14:paraId="5222A9A8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Nomenclatorului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serviciilor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sociale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16D36DE5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Denumirea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serviciului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social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82BB831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Capa-citate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460D03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Grad de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ocu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  <w:p w14:paraId="2A6E046F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pare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59ACCFB8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Bugetele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estimate pe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surse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de </w:t>
            </w: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finanțare, pentru serviciile sociale existente:</w:t>
            </w:r>
          </w:p>
        </w:tc>
      </w:tr>
      <w:tr w:rsidR="00AE63EA" w:rsidRPr="00AE63EA" w14:paraId="0009F015" w14:textId="77777777" w:rsidTr="00AE63EA">
        <w:trPr>
          <w:trHeight w:val="196"/>
        </w:trPr>
        <w:tc>
          <w:tcPr>
            <w:tcW w:w="550" w:type="dxa"/>
            <w:vMerge/>
            <w:shd w:val="clear" w:color="auto" w:fill="auto"/>
          </w:tcPr>
          <w:p w14:paraId="68290531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14:paraId="08B914A0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590036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69F966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919979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CB95B25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local</w:t>
            </w:r>
          </w:p>
        </w:tc>
        <w:tc>
          <w:tcPr>
            <w:tcW w:w="850" w:type="dxa"/>
            <w:shd w:val="clear" w:color="auto" w:fill="auto"/>
          </w:tcPr>
          <w:p w14:paraId="1DEA9062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județean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AB1BADF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1134" w:type="dxa"/>
            <w:shd w:val="clear" w:color="auto" w:fill="auto"/>
          </w:tcPr>
          <w:p w14:paraId="1F5ACA7D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Contribuții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persoane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beneficiare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916F034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surse</w:t>
            </w:r>
            <w:proofErr w:type="spellEnd"/>
          </w:p>
        </w:tc>
      </w:tr>
      <w:tr w:rsidR="00AE63EA" w:rsidRPr="00AE63EA" w14:paraId="1E5278FA" w14:textId="77777777" w:rsidTr="00AE63EA">
        <w:trPr>
          <w:trHeight w:val="594"/>
        </w:trPr>
        <w:tc>
          <w:tcPr>
            <w:tcW w:w="550" w:type="dxa"/>
            <w:shd w:val="clear" w:color="auto" w:fill="auto"/>
          </w:tcPr>
          <w:p w14:paraId="184C0C67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01" w:type="dxa"/>
            <w:shd w:val="clear" w:color="auto" w:fill="auto"/>
          </w:tcPr>
          <w:p w14:paraId="38849CCB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8730-CR-V-I</w:t>
            </w:r>
          </w:p>
        </w:tc>
        <w:tc>
          <w:tcPr>
            <w:tcW w:w="1276" w:type="dxa"/>
            <w:shd w:val="clear" w:color="auto" w:fill="auto"/>
          </w:tcPr>
          <w:p w14:paraId="527FE2EB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Centrul rezidențial pentru persoane vârstnice,,Sfinții Ioachim și Ana’’</w:t>
            </w:r>
          </w:p>
        </w:tc>
        <w:tc>
          <w:tcPr>
            <w:tcW w:w="709" w:type="dxa"/>
            <w:shd w:val="clear" w:color="auto" w:fill="auto"/>
          </w:tcPr>
          <w:p w14:paraId="0F312A77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6C36C994" w14:textId="1E716B02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0CE0355E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6C21B5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55C5F7" w14:textId="5C66EA8E" w:rsidR="00AE63EA" w:rsidRPr="00AE63EA" w:rsidRDefault="00A85C35" w:rsidP="00A85C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15000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1134" w:type="dxa"/>
            <w:shd w:val="clear" w:color="auto" w:fill="auto"/>
          </w:tcPr>
          <w:p w14:paraId="38986AD3" w14:textId="4ADA9C53" w:rsidR="00AE63EA" w:rsidRPr="00AE63EA" w:rsidRDefault="00A85C35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1555200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1418" w:type="dxa"/>
            <w:shd w:val="clear" w:color="auto" w:fill="auto"/>
          </w:tcPr>
          <w:p w14:paraId="4A46EF2D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14:paraId="5CF7CA50" w14:textId="77777777" w:rsidR="00AE63EA" w:rsidRPr="00AE63EA" w:rsidRDefault="00AE63EA" w:rsidP="00AE63EA">
      <w:pPr>
        <w:tabs>
          <w:tab w:val="left" w:pos="1985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29194172" w14:textId="77777777" w:rsidR="00AE63EA" w:rsidRPr="00AE63EA" w:rsidRDefault="00AE63EA" w:rsidP="00AE63E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propuse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spre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 fi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înfiinţate</w:t>
      </w:r>
      <w:proofErr w:type="spellEnd"/>
    </w:p>
    <w:p w14:paraId="48F078D9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W w:w="10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47"/>
        <w:gridCol w:w="679"/>
        <w:gridCol w:w="681"/>
        <w:gridCol w:w="816"/>
        <w:gridCol w:w="1223"/>
        <w:gridCol w:w="607"/>
        <w:gridCol w:w="481"/>
        <w:gridCol w:w="680"/>
        <w:gridCol w:w="816"/>
        <w:gridCol w:w="817"/>
        <w:gridCol w:w="805"/>
      </w:tblGrid>
      <w:tr w:rsidR="000B34DF" w:rsidRPr="00AE63EA" w14:paraId="75393217" w14:textId="77777777" w:rsidTr="00C14925">
        <w:trPr>
          <w:trHeight w:val="298"/>
        </w:trPr>
        <w:tc>
          <w:tcPr>
            <w:tcW w:w="993" w:type="dxa"/>
            <w:vMerge w:val="restart"/>
            <w:shd w:val="clear" w:color="auto" w:fill="auto"/>
          </w:tcPr>
          <w:p w14:paraId="4C58ECC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Denumire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serviciu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social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propus</w:t>
            </w:r>
            <w:proofErr w:type="spellEnd"/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0A80873B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Cod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serviciu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social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shd w:val="clear" w:color="auto" w:fill="auto"/>
          </w:tcPr>
          <w:p w14:paraId="7FD09C59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Catego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rie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benefi-ciari</w:t>
            </w:r>
            <w:proofErr w:type="spellEnd"/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14:paraId="010B1233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Capacitate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necesară</w:t>
            </w:r>
            <w:proofErr w:type="spellEnd"/>
          </w:p>
        </w:tc>
        <w:tc>
          <w:tcPr>
            <w:tcW w:w="816" w:type="dxa"/>
            <w:vMerge w:val="restart"/>
            <w:shd w:val="clear" w:color="auto" w:fill="auto"/>
          </w:tcPr>
          <w:p w14:paraId="20C5D86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Capaci-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tate</w:t>
            </w:r>
            <w:proofErr w:type="spellEnd"/>
          </w:p>
          <w:p w14:paraId="610C2297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clădire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spațiu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necesar</w:t>
            </w:r>
            <w:proofErr w:type="spellEnd"/>
          </w:p>
          <w:p w14:paraId="2997D62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mp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23" w:type="dxa"/>
            <w:vMerge w:val="restart"/>
            <w:shd w:val="clear" w:color="auto" w:fill="auto"/>
          </w:tcPr>
          <w:p w14:paraId="40FF8FDA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Resurse </w:t>
            </w:r>
          </w:p>
          <w:p w14:paraId="273E7770" w14:textId="77777777" w:rsidR="00AE63EA" w:rsidRPr="00AE63EA" w:rsidRDefault="00AE63EA" w:rsidP="00AE6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umane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necesare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(personal de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specialitate,de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îngrijire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, de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asistență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gospodări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-re,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întreținere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și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reparații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deservire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3401" w:type="dxa"/>
            <w:gridSpan w:val="5"/>
            <w:shd w:val="clear" w:color="auto" w:fill="auto"/>
          </w:tcPr>
          <w:p w14:paraId="2278C3F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Bugetele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estimate pe </w:t>
            </w: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surse</w:t>
            </w:r>
            <w:proofErr w:type="spellEnd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de </w:t>
            </w: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finanțare, pentru serviciile sociale existente:</w:t>
            </w:r>
          </w:p>
        </w:tc>
        <w:tc>
          <w:tcPr>
            <w:tcW w:w="805" w:type="dxa"/>
            <w:shd w:val="clear" w:color="auto" w:fill="auto"/>
          </w:tcPr>
          <w:p w14:paraId="0E0321D1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Justifi</w:t>
            </w:r>
            <w:proofErr w:type="spellEnd"/>
          </w:p>
          <w:p w14:paraId="29351A2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are</w:t>
            </w:r>
          </w:p>
        </w:tc>
      </w:tr>
      <w:tr w:rsidR="000B34DF" w:rsidRPr="00AE63EA" w14:paraId="4091A583" w14:textId="77777777" w:rsidTr="00C14925">
        <w:trPr>
          <w:trHeight w:val="253"/>
        </w:trPr>
        <w:tc>
          <w:tcPr>
            <w:tcW w:w="993" w:type="dxa"/>
            <w:vMerge/>
            <w:shd w:val="clear" w:color="auto" w:fill="auto"/>
          </w:tcPr>
          <w:p w14:paraId="2E439A16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727B1009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vMerge/>
            <w:tcBorders>
              <w:bottom w:val="nil"/>
            </w:tcBorders>
            <w:shd w:val="clear" w:color="auto" w:fill="auto"/>
          </w:tcPr>
          <w:p w14:paraId="7623257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14:paraId="3D627FA2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06C7457E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14:paraId="25C1ABD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7" w:type="dxa"/>
            <w:vMerge w:val="restart"/>
            <w:shd w:val="clear" w:color="auto" w:fill="auto"/>
          </w:tcPr>
          <w:p w14:paraId="11EB4D3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local</w:t>
            </w:r>
          </w:p>
        </w:tc>
        <w:tc>
          <w:tcPr>
            <w:tcW w:w="481" w:type="dxa"/>
            <w:vMerge w:val="restart"/>
            <w:shd w:val="clear" w:color="auto" w:fill="auto"/>
          </w:tcPr>
          <w:p w14:paraId="0AFE5AED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județean</w:t>
            </w:r>
            <w:proofErr w:type="spellEnd"/>
          </w:p>
        </w:tc>
        <w:tc>
          <w:tcPr>
            <w:tcW w:w="680" w:type="dxa"/>
            <w:vMerge w:val="restart"/>
            <w:shd w:val="clear" w:color="auto" w:fill="auto"/>
          </w:tcPr>
          <w:p w14:paraId="5AF2FA0E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de stat</w:t>
            </w:r>
          </w:p>
        </w:tc>
        <w:tc>
          <w:tcPr>
            <w:tcW w:w="816" w:type="dxa"/>
            <w:vMerge w:val="restart"/>
            <w:shd w:val="clear" w:color="auto" w:fill="auto"/>
          </w:tcPr>
          <w:p w14:paraId="366FE1A0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Contri-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buții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per-</w:t>
            </w:r>
          </w:p>
          <w:p w14:paraId="7D2F783C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soane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benefi-ciare</w:t>
            </w:r>
            <w:proofErr w:type="spellEnd"/>
          </w:p>
        </w:tc>
        <w:tc>
          <w:tcPr>
            <w:tcW w:w="817" w:type="dxa"/>
            <w:vMerge w:val="restart"/>
            <w:shd w:val="clear" w:color="auto" w:fill="auto"/>
          </w:tcPr>
          <w:p w14:paraId="21249015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Alte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surse</w:t>
            </w:r>
            <w:proofErr w:type="spellEnd"/>
          </w:p>
        </w:tc>
        <w:tc>
          <w:tcPr>
            <w:tcW w:w="805" w:type="dxa"/>
            <w:vMerge w:val="restart"/>
            <w:shd w:val="clear" w:color="auto" w:fill="auto"/>
          </w:tcPr>
          <w:p w14:paraId="12B839E4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B34DF" w:rsidRPr="00AE63EA" w14:paraId="44BD7926" w14:textId="77777777" w:rsidTr="00C14925">
        <w:trPr>
          <w:trHeight w:val="1114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876995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EA4E8D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D42D66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79" w:type="dxa"/>
            <w:shd w:val="clear" w:color="auto" w:fill="auto"/>
          </w:tcPr>
          <w:p w14:paraId="14DE620C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Nr.</w:t>
            </w:r>
          </w:p>
          <w:p w14:paraId="32641E7B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benef</w:t>
            </w:r>
            <w:proofErr w:type="spellEnd"/>
          </w:p>
          <w:p w14:paraId="45F23065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/zi</w:t>
            </w:r>
          </w:p>
        </w:tc>
        <w:tc>
          <w:tcPr>
            <w:tcW w:w="681" w:type="dxa"/>
            <w:shd w:val="clear" w:color="auto" w:fill="auto"/>
          </w:tcPr>
          <w:p w14:paraId="7737791E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Nr.</w:t>
            </w:r>
          </w:p>
          <w:p w14:paraId="262E595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locuri</w:t>
            </w:r>
            <w:proofErr w:type="spellEnd"/>
          </w:p>
          <w:p w14:paraId="5B26A96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paturi)</w:t>
            </w:r>
          </w:p>
          <w:p w14:paraId="753EFC0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0C58CB81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14:paraId="4583D7AC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7" w:type="dxa"/>
            <w:vMerge/>
            <w:shd w:val="clear" w:color="auto" w:fill="auto"/>
          </w:tcPr>
          <w:p w14:paraId="6DF5CA15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14:paraId="0956775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14:paraId="552D6494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14:paraId="49785409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283CC80B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14:paraId="3ED3219E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14925" w:rsidRPr="00AE63EA" w14:paraId="580EC3ED" w14:textId="77777777" w:rsidTr="00C14925">
        <w:trPr>
          <w:trHeight w:val="1007"/>
        </w:trPr>
        <w:tc>
          <w:tcPr>
            <w:tcW w:w="993" w:type="dxa"/>
            <w:shd w:val="clear" w:color="auto" w:fill="auto"/>
          </w:tcPr>
          <w:p w14:paraId="33DD7CF9" w14:textId="77777777" w:rsidR="00C14925" w:rsidRPr="00C14925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Unități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îngrijire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domiciliu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1031F3" w14:textId="77777777" w:rsidR="00C14925" w:rsidRPr="00C14925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8810 ID-I</w:t>
            </w: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591AC9" w14:textId="77777777" w:rsidR="00C14925" w:rsidRPr="00C14925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Persoane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vârstnice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14:paraId="08654CE4" w14:textId="77777777" w:rsidR="00C14925" w:rsidRPr="00C14925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14:paraId="31437F53" w14:textId="77777777" w:rsidR="00C14925" w:rsidRPr="00AE63EA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14:paraId="05786B59" w14:textId="77777777" w:rsidR="00C14925" w:rsidRPr="00AE63EA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shd w:val="clear" w:color="auto" w:fill="auto"/>
          </w:tcPr>
          <w:p w14:paraId="77BAE0CA" w14:textId="77777777" w:rsidR="00C14925" w:rsidRPr="00AE63EA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7" w:type="dxa"/>
            <w:shd w:val="clear" w:color="auto" w:fill="auto"/>
          </w:tcPr>
          <w:p w14:paraId="574E8CB5" w14:textId="3468F408" w:rsidR="00C14925" w:rsidRPr="00E83524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D62DF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6000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481" w:type="dxa"/>
            <w:shd w:val="clear" w:color="auto" w:fill="auto"/>
          </w:tcPr>
          <w:p w14:paraId="7B78E82C" w14:textId="77777777" w:rsidR="00C14925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686FD9D1" w14:textId="77777777" w:rsidR="00C14925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14:paraId="26040E41" w14:textId="77777777" w:rsidR="00C14925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14:paraId="04A3999A" w14:textId="4A6EB840" w:rsidR="00C14925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20000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805" w:type="dxa"/>
            <w:shd w:val="clear" w:color="auto" w:fill="auto"/>
          </w:tcPr>
          <w:p w14:paraId="13484F16" w14:textId="77777777" w:rsidR="00C14925" w:rsidRPr="00AE63EA" w:rsidRDefault="00C14925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B34DF" w:rsidRPr="00AE63EA" w14:paraId="645CE652" w14:textId="77777777" w:rsidTr="00C14925">
        <w:trPr>
          <w:trHeight w:val="1007"/>
        </w:trPr>
        <w:tc>
          <w:tcPr>
            <w:tcW w:w="993" w:type="dxa"/>
            <w:shd w:val="clear" w:color="auto" w:fill="auto"/>
          </w:tcPr>
          <w:p w14:paraId="497F3922" w14:textId="77777777" w:rsidR="00AE63EA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Servicii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mobile de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acordare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hranei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-masa pe roti</w:t>
            </w:r>
          </w:p>
          <w:p w14:paraId="30BFA59E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43417730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41864FA5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AA334C" w14:textId="77777777" w:rsidR="00AE63EA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8899 CPDH-II</w:t>
            </w:r>
          </w:p>
          <w:p w14:paraId="147ED9F5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617C3C55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762368C9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4777D40A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5B0E688F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CE297D" w14:textId="77777777" w:rsidR="00AE63EA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Persoane</w:t>
            </w:r>
            <w:proofErr w:type="spellEnd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vârstnice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14:paraId="4A1A7DB2" w14:textId="77777777" w:rsidR="00AE63EA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149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</w:t>
            </w:r>
          </w:p>
          <w:p w14:paraId="7554F4F8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5746D018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52AA0840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600B6FCA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31CC91D8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14:paraId="1003CFCE" w14:textId="77777777" w:rsidR="00E83524" w:rsidRPr="00C14925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shd w:val="clear" w:color="auto" w:fill="auto"/>
          </w:tcPr>
          <w:p w14:paraId="7D47DE7C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14:paraId="492F344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23" w:type="dxa"/>
            <w:shd w:val="clear" w:color="auto" w:fill="auto"/>
          </w:tcPr>
          <w:p w14:paraId="32F5841A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7" w:type="dxa"/>
            <w:shd w:val="clear" w:color="auto" w:fill="auto"/>
          </w:tcPr>
          <w:p w14:paraId="0FD99A09" w14:textId="5C862E10" w:rsidR="00AE63EA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5000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481" w:type="dxa"/>
            <w:shd w:val="clear" w:color="auto" w:fill="auto"/>
          </w:tcPr>
          <w:p w14:paraId="29F714C7" w14:textId="77777777" w:rsidR="00AE63EA" w:rsidRPr="00AE63EA" w:rsidRDefault="00AE63EA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14:paraId="06E4D10A" w14:textId="77777777" w:rsidR="00AE63EA" w:rsidRPr="00AE63EA" w:rsidRDefault="00AE63EA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</w:tcPr>
          <w:p w14:paraId="13342FB2" w14:textId="77777777" w:rsidR="00AE63EA" w:rsidRPr="00AE63EA" w:rsidRDefault="00AE63EA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14:paraId="541688F1" w14:textId="04A73A3A" w:rsidR="00AE63EA" w:rsidRPr="00AE63EA" w:rsidRDefault="00C14925" w:rsidP="00D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11800</w:t>
            </w:r>
            <w:r w:rsidR="00F970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lei</w:t>
            </w:r>
          </w:p>
        </w:tc>
        <w:tc>
          <w:tcPr>
            <w:tcW w:w="805" w:type="dxa"/>
            <w:shd w:val="clear" w:color="auto" w:fill="auto"/>
          </w:tcPr>
          <w:p w14:paraId="7F90781D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5AFCC64F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2E509B78" w14:textId="77777777" w:rsid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5690B1B" w14:textId="77777777" w:rsidR="00BE7045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C.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Programul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anual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contractare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fonduri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publice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baza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prevederilor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E63EA">
        <w:rPr>
          <w:rFonts w:ascii="Times New Roman" w:eastAsia="Calibri" w:hAnsi="Times New Roman" w:cs="Times New Roman"/>
          <w:vanish/>
          <w:sz w:val="28"/>
          <w:szCs w:val="28"/>
          <w:lang w:val="en-US"/>
        </w:rPr>
        <w:t>&lt;LLNK 12011   292 12 231   0 37&gt;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Legii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292/2011, cu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modificările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completările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ulterioare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realizarea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obiectivului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operațional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direcției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prevăzută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Strategia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dezvoltare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nivelul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perioada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</w:t>
      </w:r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-202</w:t>
      </w:r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aprobată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Hotărârea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</w:t>
      </w:r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din </w:t>
      </w:r>
    </w:p>
    <w:p w14:paraId="09DBF3B6" w14:textId="77777777" w:rsidR="00AE3596" w:rsidRDefault="00BE7045" w:rsidP="00AE3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1.Serviciile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eligibile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fi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contractate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</w:t>
      </w:r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>alte</w:t>
      </w:r>
      <w:proofErr w:type="spellEnd"/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3596">
        <w:rPr>
          <w:rFonts w:ascii="Times New Roman" w:eastAsia="Calibri" w:hAnsi="Times New Roman" w:cs="Times New Roman"/>
          <w:sz w:val="28"/>
          <w:szCs w:val="28"/>
          <w:lang w:val="en-US"/>
        </w:rPr>
        <w:t>surse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 cod CPV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este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însoțit de codul serviciului social din Nomenclatorul Serviciilor Sociale, aprobat prin HG.Nr.867/2015, pentru aprobarea Nomenclatorului Serviciilor Sociale, precum și a regulamentelor cadru de organizare și funcționare 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serviiciilor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sociale, cu modificările și completările ulterioare, iar estimarea valorii contractului se realizează pe baza standardelor de cost  pentru serviciile sociale care fac obiectul contractării, aprobate la nivel nați</w:t>
      </w:r>
      <w:r w:rsidR="00AE3596">
        <w:rPr>
          <w:rFonts w:ascii="Times New Roman" w:eastAsia="Calibri" w:hAnsi="Times New Roman" w:cs="Times New Roman"/>
          <w:sz w:val="28"/>
          <w:szCs w:val="28"/>
        </w:rPr>
        <w:t>onal prin hotărâre a Guvernului</w:t>
      </w:r>
    </w:p>
    <w:p w14:paraId="56214BFB" w14:textId="77777777" w:rsidR="003C7EDE" w:rsidRPr="00AE3596" w:rsidRDefault="003C7EDE" w:rsidP="00AE3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CC53B" w14:textId="77777777" w:rsidR="003C7EDE" w:rsidRPr="00827A55" w:rsidRDefault="003C7EDE" w:rsidP="003C7EDE">
      <w:pPr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  <w:r w:rsidRPr="00827A55">
        <w:rPr>
          <w:rFonts w:ascii="Tahoma" w:hAnsi="Tahoma" w:cs="Tahoma"/>
          <w:i/>
          <w:sz w:val="20"/>
          <w:szCs w:val="20"/>
          <w:lang w:val="it-IT"/>
        </w:rPr>
        <w:t>Sat Livezile, nr.161, 427120, Telefon: 0263/270034 Fax: 0263/270034,</w:t>
      </w:r>
      <w:r w:rsidRPr="00827A55">
        <w:rPr>
          <w:rFonts w:ascii="Tahoma" w:hAnsi="Tahoma" w:cs="Tahoma"/>
          <w:i/>
          <w:sz w:val="20"/>
          <w:szCs w:val="20"/>
        </w:rPr>
        <w:t xml:space="preserve">e-mail:        primarie@primarialivezilebn.ro, website: </w:t>
      </w:r>
      <w:hyperlink r:id="rId10" w:history="1">
        <w:r w:rsidRPr="00827A55">
          <w:rPr>
            <w:rFonts w:ascii="Tahoma" w:hAnsi="Tahoma" w:cs="Tahoma"/>
            <w:i/>
            <w:color w:val="0000FF"/>
            <w:sz w:val="20"/>
            <w:szCs w:val="20"/>
            <w:u w:val="single"/>
          </w:rPr>
          <w:t>https://www.primarialivezilebn.ro</w:t>
        </w:r>
      </w:hyperlink>
    </w:p>
    <w:p w14:paraId="25D75B9A" w14:textId="77777777" w:rsidR="003C7EDE" w:rsidRDefault="003C7EDE" w:rsidP="003C7E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Bugetul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estimat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programului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de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contractare</w:t>
      </w:r>
      <w:proofErr w:type="spellEnd"/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– 42800 lei.</w:t>
      </w:r>
    </w:p>
    <w:p w14:paraId="51E1DD63" w14:textId="77777777" w:rsidR="00CE0B3F" w:rsidRDefault="00CE0B3F" w:rsidP="00CE0B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0F712E1" w14:textId="77777777" w:rsidR="003C7EDE" w:rsidRDefault="003C7EDE" w:rsidP="00CE0B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19C1B82" w14:textId="77777777" w:rsidR="00AE63EA" w:rsidRPr="00AE63EA" w:rsidRDefault="00AE63EA" w:rsidP="00CE0B3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CAP. II</w:t>
      </w:r>
    </w:p>
    <w:p w14:paraId="5CD7EE91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Planificarea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activităţilor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publicului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existente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nivel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local 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</w:t>
      </w:r>
      <w:proofErr w:type="spellEnd"/>
      <w:proofErr w:type="gram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conformitate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prevederile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E63EA">
        <w:rPr>
          <w:rFonts w:ascii="Times New Roman" w:eastAsia="Calibri" w:hAnsi="Times New Roman" w:cs="Times New Roman"/>
          <w:b/>
          <w:vanish/>
          <w:sz w:val="28"/>
          <w:szCs w:val="28"/>
          <w:lang w:val="en-US"/>
        </w:rPr>
        <w:t>&lt;LLNK 12017   797 20 302   6 44&gt;</w:t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art. 6 din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Hotărârea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nr. 797/2017</w:t>
      </w:r>
    </w:p>
    <w:p w14:paraId="62E80E3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B7520C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 1.Revizuirea/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Actualizarea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informaţiilor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pagina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internet/se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afişează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sediul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Prim</w:t>
      </w:r>
      <w:r w:rsidRPr="00AE63EA">
        <w:rPr>
          <w:rFonts w:ascii="Times New Roman" w:eastAsia="Calibri" w:hAnsi="Times New Roman" w:cs="Times New Roman"/>
          <w:sz w:val="28"/>
          <w:szCs w:val="28"/>
        </w:rPr>
        <w:t xml:space="preserve">ăriei </w:t>
      </w:r>
      <w:r w:rsidR="00BE7045">
        <w:rPr>
          <w:rFonts w:ascii="Times New Roman" w:eastAsia="Calibri" w:hAnsi="Times New Roman" w:cs="Times New Roman"/>
          <w:sz w:val="28"/>
          <w:szCs w:val="28"/>
        </w:rPr>
        <w:t>Livezile</w:t>
      </w:r>
      <w:r w:rsidRPr="00AE63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76535E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a)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Strategia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dezvoltare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1693375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b)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Planul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anual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acţiune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administrate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finanţate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bugetul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local</w:t>
      </w:r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BE8087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c)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Activitatea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proprie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aflate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proprie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administrare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formulare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modele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cereri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format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editabil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programul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instituţiei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condiţii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eligibilitate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informaţiile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costurile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acordate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fiecare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furnizat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etc. - se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actualizează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cel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puţin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lunar;</w:t>
      </w:r>
    </w:p>
    <w:p w14:paraId="3F98911F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d)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Informaţii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disponibile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Primăriei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045">
        <w:rPr>
          <w:rFonts w:ascii="Times New Roman" w:eastAsia="Calibri" w:hAnsi="Times New Roman" w:cs="Times New Roman"/>
          <w:sz w:val="28"/>
          <w:szCs w:val="28"/>
          <w:lang w:val="en-US"/>
        </w:rPr>
        <w:t>Livezile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acordate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furnizori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privaţi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5B042368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>(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lista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furnizorilor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comunitate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acordate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aceştia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se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actualizează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semestrial;</w:t>
      </w:r>
    </w:p>
    <w:p w14:paraId="48CF421E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(ii)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funcţionează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Compartimentului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cod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datele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beneficiarii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costurile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personalul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tipul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înregistrate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anterior etc. - se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actualizează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anual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dacă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este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cazul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22863F8" w14:textId="77777777" w:rsidR="00AE63EA" w:rsidRPr="00AE63EA" w:rsidRDefault="00AE63EA" w:rsidP="00701D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 2.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Activităţi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altele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decât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activitatea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beneficiarului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procesului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acordare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respectiv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perioada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realizării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evaluării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iniţiale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anchetelor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</w:t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2901096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.Campanii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sensibilizare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comunităţii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organizate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Compartimentul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sau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colaborare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alte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interes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etc.;</w:t>
      </w:r>
    </w:p>
    <w:p w14:paraId="1BD92F2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 </w:t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>4.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Campanii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promovare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disponibile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Compartimentul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5F1900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 </w:t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.Organizarea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întâlniri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tripartite: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furnizorii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servicii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organizaţii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voluntariat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asociaţii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persoanelor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beneficiare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etc.;</w:t>
      </w:r>
    </w:p>
    <w:p w14:paraId="4F2E44BD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.Activităţi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consiliere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realizate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Compartimentul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cum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fi :</w:t>
      </w:r>
      <w:proofErr w:type="gram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conştientizare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sensibilizare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publicului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riscul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excluziune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respectarea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drepturilor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promovarea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măsurilor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mediere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socială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etc.;</w:t>
      </w:r>
    </w:p>
    <w:p w14:paraId="3D0FE08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="00701D5D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Mesaje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interes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public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transmise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presă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dacă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este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cazul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524602C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F8A515F" w14:textId="77777777" w:rsidR="003C7EDE" w:rsidRPr="00827A55" w:rsidRDefault="003C7EDE" w:rsidP="003C7ED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  <w:r w:rsidRPr="00827A55">
        <w:rPr>
          <w:rFonts w:ascii="Tahoma" w:hAnsi="Tahoma" w:cs="Tahoma"/>
          <w:i/>
          <w:sz w:val="20"/>
          <w:szCs w:val="20"/>
          <w:lang w:val="it-IT"/>
        </w:rPr>
        <w:t>Sat Livezile, nr.161, 427120, Telefon: 0263/270034 Fax: 0263/270034,</w:t>
      </w:r>
      <w:r w:rsidRPr="00827A55">
        <w:rPr>
          <w:rFonts w:ascii="Tahoma" w:hAnsi="Tahoma" w:cs="Tahoma"/>
          <w:i/>
          <w:sz w:val="20"/>
          <w:szCs w:val="20"/>
        </w:rPr>
        <w:t xml:space="preserve">e-mail:        primarie@primarialivezilebn.ro, website: </w:t>
      </w:r>
      <w:hyperlink r:id="rId11" w:history="1">
        <w:r w:rsidRPr="00827A55">
          <w:rPr>
            <w:rFonts w:ascii="Tahoma" w:hAnsi="Tahoma" w:cs="Tahoma"/>
            <w:i/>
            <w:color w:val="0000FF"/>
            <w:sz w:val="20"/>
            <w:szCs w:val="20"/>
            <w:u w:val="single"/>
          </w:rPr>
          <w:t>https://www.primarialivezilebn.ro</w:t>
        </w:r>
      </w:hyperlink>
    </w:p>
    <w:p w14:paraId="78609E19" w14:textId="77777777" w:rsidR="003C7EDE" w:rsidRDefault="003C7EDE" w:rsidP="003C7EDE">
      <w:pPr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</w:p>
    <w:p w14:paraId="2D9E1733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CAP. III</w:t>
      </w:r>
    </w:p>
    <w:p w14:paraId="24ECCB95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Programul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formare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şi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îndrumare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metodologică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personalului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care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lucrează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domeniul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serviciilor</w:t>
      </w:r>
      <w:proofErr w:type="spellEnd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sociale</w:t>
      </w:r>
      <w:proofErr w:type="spellEnd"/>
    </w:p>
    <w:p w14:paraId="2B4AD49E" w14:textId="77777777" w:rsidR="00AE63EA" w:rsidRPr="00AE63EA" w:rsidRDefault="00AE63EA" w:rsidP="00AE63EA">
      <w:pPr>
        <w:numPr>
          <w:ilvl w:val="0"/>
          <w:numId w:val="1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Propuneri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activităţi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formare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profesională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continuă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vederea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creşterii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performanţei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personalului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structurile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proprii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instruire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etc. :</w:t>
      </w:r>
    </w:p>
    <w:p w14:paraId="70CB81CB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ind w:left="60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A3F4520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a)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cursuri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perfecţionare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3143"/>
        <w:gridCol w:w="3003"/>
      </w:tblGrid>
      <w:tr w:rsidR="00AE63EA" w:rsidRPr="00AE63EA" w14:paraId="42337A02" w14:textId="77777777" w:rsidTr="00060FF5">
        <w:tc>
          <w:tcPr>
            <w:tcW w:w="3192" w:type="dxa"/>
            <w:shd w:val="clear" w:color="auto" w:fill="auto"/>
          </w:tcPr>
          <w:p w14:paraId="784BCA8B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Personal de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0EA6223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Nr.persoane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167C862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AE63EA" w:rsidRPr="00AE63EA" w14:paraId="052A6B60" w14:textId="77777777" w:rsidTr="00060FF5">
        <w:tc>
          <w:tcPr>
            <w:tcW w:w="3192" w:type="dxa"/>
            <w:shd w:val="clear" w:color="auto" w:fill="auto"/>
          </w:tcPr>
          <w:p w14:paraId="4BDC7186" w14:textId="77777777" w:rsidR="00AE63EA" w:rsidRPr="00AE63EA" w:rsidRDefault="00701D5D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14:paraId="62FBF081" w14:textId="77777777" w:rsidR="00AE63EA" w:rsidRPr="00AE63EA" w:rsidRDefault="00701D5D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61" w:type="dxa"/>
            <w:shd w:val="clear" w:color="auto" w:fill="auto"/>
          </w:tcPr>
          <w:p w14:paraId="764661FF" w14:textId="77777777" w:rsidR="00AE63EA" w:rsidRPr="00AE63EA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01D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="00AE63EA"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lei /an</w:t>
            </w:r>
          </w:p>
        </w:tc>
      </w:tr>
    </w:tbl>
    <w:p w14:paraId="4765FF8A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093DC8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b)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cursuri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calificare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AE63EA" w:rsidRPr="00AE63EA" w14:paraId="3DFB3D5C" w14:textId="77777777" w:rsidTr="00060FF5">
        <w:tc>
          <w:tcPr>
            <w:tcW w:w="3192" w:type="dxa"/>
            <w:shd w:val="clear" w:color="auto" w:fill="auto"/>
          </w:tcPr>
          <w:p w14:paraId="1093E3AC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Nr.persoane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1491F1F0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AE63EA" w:rsidRPr="00AE63EA" w14:paraId="2357F155" w14:textId="77777777" w:rsidTr="00060FF5">
        <w:tc>
          <w:tcPr>
            <w:tcW w:w="3192" w:type="dxa"/>
            <w:shd w:val="clear" w:color="auto" w:fill="auto"/>
          </w:tcPr>
          <w:p w14:paraId="6A6DBC99" w14:textId="77777777" w:rsidR="00AE63EA" w:rsidRPr="00AE63EA" w:rsidRDefault="00701D5D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14:paraId="0EE9330B" w14:textId="77777777" w:rsidR="00AE63EA" w:rsidRPr="00AE63EA" w:rsidRDefault="00E83524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01D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 lei/an</w:t>
            </w:r>
          </w:p>
        </w:tc>
      </w:tr>
    </w:tbl>
    <w:p w14:paraId="7FD21687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9B73247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c)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sesiuni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instruire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4410A3BC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c.1.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personalul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centre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cerinţelor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standardelor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calitate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AE63EA" w:rsidRPr="00AE63EA" w14:paraId="447CC738" w14:textId="77777777" w:rsidTr="00060FF5">
        <w:tc>
          <w:tcPr>
            <w:tcW w:w="3192" w:type="dxa"/>
            <w:shd w:val="clear" w:color="auto" w:fill="auto"/>
          </w:tcPr>
          <w:p w14:paraId="4D664A3F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Nr.persoane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683B42C1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AE63EA" w:rsidRPr="00AE63EA" w14:paraId="0899FF0A" w14:textId="77777777" w:rsidTr="00060FF5">
        <w:tc>
          <w:tcPr>
            <w:tcW w:w="3192" w:type="dxa"/>
            <w:shd w:val="clear" w:color="auto" w:fill="auto"/>
          </w:tcPr>
          <w:p w14:paraId="01F398C6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92" w:type="dxa"/>
            <w:shd w:val="clear" w:color="auto" w:fill="auto"/>
          </w:tcPr>
          <w:p w14:paraId="793886D8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16D9E2B3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FDAAC1E" w14:textId="77777777" w:rsidR="00AE63EA" w:rsidRPr="00AE63EA" w:rsidRDefault="00AE63EA" w:rsidP="00AE63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c.2.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asistenţi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personali</w:t>
      </w:r>
      <w:proofErr w:type="spellEnd"/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AE63EA" w:rsidRPr="00AE63EA" w14:paraId="385EB58D" w14:textId="77777777" w:rsidTr="00060FF5">
        <w:tc>
          <w:tcPr>
            <w:tcW w:w="3192" w:type="dxa"/>
            <w:shd w:val="clear" w:color="auto" w:fill="auto"/>
          </w:tcPr>
          <w:p w14:paraId="4309D27D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Nr.persoane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14:paraId="6ADCEC36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</w:p>
        </w:tc>
      </w:tr>
      <w:tr w:rsidR="00AE63EA" w:rsidRPr="00AE63EA" w14:paraId="2D7146AD" w14:textId="77777777" w:rsidTr="00060FF5">
        <w:tc>
          <w:tcPr>
            <w:tcW w:w="3192" w:type="dxa"/>
            <w:shd w:val="clear" w:color="auto" w:fill="auto"/>
          </w:tcPr>
          <w:p w14:paraId="2467A549" w14:textId="77777777" w:rsidR="00AE63EA" w:rsidRPr="00AE63EA" w:rsidRDefault="00CE0B3F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92" w:type="dxa"/>
            <w:shd w:val="clear" w:color="auto" w:fill="auto"/>
          </w:tcPr>
          <w:p w14:paraId="373CAACD" w14:textId="77777777" w:rsidR="00AE63EA" w:rsidRPr="00AE63EA" w:rsidRDefault="00AE63EA" w:rsidP="00AE6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0B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8620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E63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lei /an</w:t>
            </w:r>
          </w:p>
        </w:tc>
      </w:tr>
    </w:tbl>
    <w:p w14:paraId="6DB12A45" w14:textId="77777777" w:rsidR="00AE63EA" w:rsidRPr="00AE63EA" w:rsidRDefault="00AE63EA" w:rsidP="00AE63EA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E63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40AF8796" w14:textId="77777777" w:rsidR="00AE63EA" w:rsidRPr="00AE63EA" w:rsidRDefault="00AE63EA" w:rsidP="00AE63E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E63EA">
        <w:rPr>
          <w:rFonts w:ascii="Times New Roman" w:eastAsia="Calibri" w:hAnsi="Times New Roman" w:cs="Times New Roman"/>
          <w:sz w:val="28"/>
          <w:szCs w:val="28"/>
        </w:rPr>
        <w:t>d) organizarea de întâlniri de tip peer</w:t>
      </w:r>
      <w:r w:rsidRPr="00AE63E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E63EA">
        <w:rPr>
          <w:rFonts w:ascii="Times New Roman" w:eastAsia="Calibri" w:hAnsi="Times New Roman" w:cs="Times New Roman"/>
          <w:sz w:val="28"/>
          <w:szCs w:val="28"/>
        </w:rPr>
        <w:t>review, inclusiv prin structurile asociative ale municipiilor, oraşelor, comunelor, prin asociaţii profesionale, prin asociaţii de dezvoltare intercomunitară etc.: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148"/>
        <w:gridCol w:w="3081"/>
      </w:tblGrid>
      <w:tr w:rsidR="00AE63EA" w:rsidRPr="00AE63EA" w14:paraId="4080F826" w14:textId="77777777" w:rsidTr="00060FF5">
        <w:tc>
          <w:tcPr>
            <w:tcW w:w="3355" w:type="dxa"/>
          </w:tcPr>
          <w:p w14:paraId="28F15C56" w14:textId="77777777" w:rsidR="00AE63EA" w:rsidRPr="00AE63EA" w:rsidRDefault="00AE63EA" w:rsidP="00AE63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Teme de interes</w:t>
            </w:r>
          </w:p>
        </w:tc>
        <w:tc>
          <w:tcPr>
            <w:tcW w:w="3429" w:type="dxa"/>
          </w:tcPr>
          <w:p w14:paraId="4E7016B9" w14:textId="77777777" w:rsidR="00AE63EA" w:rsidRPr="00AE63EA" w:rsidRDefault="00AE63EA" w:rsidP="00AE63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>Nr. persoane</w:t>
            </w:r>
          </w:p>
        </w:tc>
        <w:tc>
          <w:tcPr>
            <w:tcW w:w="3375" w:type="dxa"/>
          </w:tcPr>
          <w:p w14:paraId="3D249BFC" w14:textId="77777777" w:rsidR="00AE63EA" w:rsidRPr="00AE63EA" w:rsidRDefault="00AE63EA" w:rsidP="00AE63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>Buget estimat</w:t>
            </w:r>
          </w:p>
        </w:tc>
      </w:tr>
      <w:tr w:rsidR="00AE63EA" w:rsidRPr="00AE63EA" w14:paraId="3F353574" w14:textId="77777777" w:rsidTr="00060FF5">
        <w:tc>
          <w:tcPr>
            <w:tcW w:w="3355" w:type="dxa"/>
          </w:tcPr>
          <w:p w14:paraId="2EBCAF55" w14:textId="77777777" w:rsidR="00AE63EA" w:rsidRPr="00AE63EA" w:rsidRDefault="00AE63EA" w:rsidP="00AE63EA">
            <w:pPr>
              <w:ind w:left="-5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9" w:type="dxa"/>
          </w:tcPr>
          <w:p w14:paraId="179F2E71" w14:textId="77777777" w:rsidR="00AE63EA" w:rsidRPr="00AE63EA" w:rsidRDefault="00AE63EA" w:rsidP="00AE63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5" w:type="dxa"/>
          </w:tcPr>
          <w:p w14:paraId="50C5615E" w14:textId="77777777" w:rsidR="00AE63EA" w:rsidRPr="00AE63EA" w:rsidRDefault="00AE63EA" w:rsidP="00AE63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3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775088F7" w14:textId="77777777" w:rsidR="00CE0B3F" w:rsidRDefault="00CE0B3F" w:rsidP="00AE63E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36629" w14:textId="77777777" w:rsidR="00AE63EA" w:rsidRPr="00AE63EA" w:rsidRDefault="00AE63EA" w:rsidP="00AE63E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</w:rPr>
        <w:t xml:space="preserve"> e) participarea la sesiunile de formare organizate prin programe de interes naţional;</w:t>
      </w:r>
    </w:p>
    <w:p w14:paraId="02932B9C" w14:textId="77777777" w:rsidR="00AE63EA" w:rsidRDefault="00AE63EA" w:rsidP="0086209F">
      <w:pPr>
        <w:ind w:firstLine="709"/>
        <w:contextualSpacing/>
        <w:jc w:val="both"/>
        <w:rPr>
          <w:rFonts w:ascii="Tahoma" w:hAnsi="Tahoma" w:cs="Tahoma"/>
          <w:sz w:val="28"/>
          <w:szCs w:val="28"/>
        </w:rPr>
      </w:pPr>
      <w:r w:rsidRPr="00AE63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FCA4AF" w14:textId="77777777" w:rsidR="00765E47" w:rsidRDefault="00765E47" w:rsidP="00765E4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1146C371" w14:textId="77777777" w:rsidR="00765E47" w:rsidRDefault="00765E47" w:rsidP="00765E4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62C485D0" w14:textId="77777777" w:rsidR="003C7EDE" w:rsidRDefault="003C7EDE" w:rsidP="00765E4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284E6C82" w14:textId="77777777" w:rsidR="003C7EDE" w:rsidRDefault="003C7EDE" w:rsidP="00765E4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63A578F0" w14:textId="77777777" w:rsidR="00765E47" w:rsidRPr="00827A55" w:rsidRDefault="00765E47" w:rsidP="00765E4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5E1D747D" w14:textId="77777777" w:rsidR="00765E47" w:rsidRPr="00827A55" w:rsidRDefault="00765E47" w:rsidP="00765E47">
      <w:pPr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  <w:r w:rsidRPr="00827A55">
        <w:rPr>
          <w:rFonts w:ascii="Tahoma" w:hAnsi="Tahoma" w:cs="Tahoma"/>
          <w:i/>
          <w:sz w:val="20"/>
          <w:szCs w:val="20"/>
          <w:lang w:val="it-IT"/>
        </w:rPr>
        <w:t>Sat Livezile, nr.161, 427120, Telefon: 0263/270034 Fax: 0263/270034,</w:t>
      </w:r>
      <w:r w:rsidRPr="00827A55">
        <w:rPr>
          <w:rFonts w:ascii="Tahoma" w:hAnsi="Tahoma" w:cs="Tahoma"/>
          <w:i/>
          <w:sz w:val="20"/>
          <w:szCs w:val="20"/>
        </w:rPr>
        <w:t xml:space="preserve">e-mail:        primarie@primarialivezilebn.ro, website: </w:t>
      </w:r>
      <w:hyperlink r:id="rId12" w:history="1">
        <w:r w:rsidRPr="00827A55">
          <w:rPr>
            <w:rFonts w:ascii="Tahoma" w:hAnsi="Tahoma" w:cs="Tahoma"/>
            <w:i/>
            <w:color w:val="0000FF"/>
            <w:sz w:val="20"/>
            <w:szCs w:val="20"/>
            <w:u w:val="single"/>
          </w:rPr>
          <w:t>https://www.primarialivezilebn.ro</w:t>
        </w:r>
      </w:hyperlink>
    </w:p>
    <w:p w14:paraId="2B0ACF6E" w14:textId="77777777" w:rsidR="00765E47" w:rsidRDefault="00765E47" w:rsidP="00765E47">
      <w:pPr>
        <w:spacing w:after="0" w:line="240" w:lineRule="auto"/>
        <w:jc w:val="center"/>
        <w:rPr>
          <w:rFonts w:ascii="Tahoma" w:hAnsi="Tahoma" w:cs="Tahoma"/>
          <w:i/>
          <w:color w:val="0000FF"/>
          <w:sz w:val="20"/>
          <w:szCs w:val="20"/>
          <w:u w:val="single"/>
        </w:rPr>
      </w:pPr>
    </w:p>
    <w:p w14:paraId="58C477A4" w14:textId="77777777" w:rsidR="00827A55" w:rsidRDefault="00827A55" w:rsidP="00E37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EAFC4" w14:textId="77777777" w:rsidR="00AE63EA" w:rsidRPr="00C52621" w:rsidRDefault="00AE63EA" w:rsidP="00E371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995DF" w14:textId="77777777" w:rsidR="00E37143" w:rsidRDefault="00E37143" w:rsidP="00E3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7512D" w14:textId="77777777" w:rsidR="00E37143" w:rsidRPr="00C52621" w:rsidRDefault="00E37143" w:rsidP="00E3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7143" w:rsidRPr="00C52621" w:rsidSect="000B34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C87"/>
    <w:multiLevelType w:val="hybridMultilevel"/>
    <w:tmpl w:val="C1CA1D44"/>
    <w:lvl w:ilvl="0" w:tplc="8BE65A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6B5E"/>
    <w:multiLevelType w:val="hybridMultilevel"/>
    <w:tmpl w:val="C3E00DE2"/>
    <w:lvl w:ilvl="0" w:tplc="A8729FD8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B05F1"/>
    <w:multiLevelType w:val="hybridMultilevel"/>
    <w:tmpl w:val="ECE0F876"/>
    <w:lvl w:ilvl="0" w:tplc="96165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0434688">
    <w:abstractNumId w:val="2"/>
  </w:num>
  <w:num w:numId="2" w16cid:durableId="810095650">
    <w:abstractNumId w:val="1"/>
  </w:num>
  <w:num w:numId="3" w16cid:durableId="1216039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13"/>
    <w:rsid w:val="00044416"/>
    <w:rsid w:val="00070356"/>
    <w:rsid w:val="000950D7"/>
    <w:rsid w:val="0009531B"/>
    <w:rsid w:val="000B2694"/>
    <w:rsid w:val="000B34DF"/>
    <w:rsid w:val="000C1285"/>
    <w:rsid w:val="001036B7"/>
    <w:rsid w:val="00187DC2"/>
    <w:rsid w:val="00191235"/>
    <w:rsid w:val="00251201"/>
    <w:rsid w:val="00330C39"/>
    <w:rsid w:val="003C35DF"/>
    <w:rsid w:val="003C7EDE"/>
    <w:rsid w:val="003E14AE"/>
    <w:rsid w:val="004004A4"/>
    <w:rsid w:val="00445990"/>
    <w:rsid w:val="004C7034"/>
    <w:rsid w:val="004F659B"/>
    <w:rsid w:val="005137C8"/>
    <w:rsid w:val="0055044E"/>
    <w:rsid w:val="00556ECF"/>
    <w:rsid w:val="005F3140"/>
    <w:rsid w:val="005F625D"/>
    <w:rsid w:val="00620BD9"/>
    <w:rsid w:val="00666047"/>
    <w:rsid w:val="006D754D"/>
    <w:rsid w:val="00701D5D"/>
    <w:rsid w:val="00765E47"/>
    <w:rsid w:val="0076683C"/>
    <w:rsid w:val="00827A55"/>
    <w:rsid w:val="0086209F"/>
    <w:rsid w:val="00887B76"/>
    <w:rsid w:val="008A4F82"/>
    <w:rsid w:val="008D0CDC"/>
    <w:rsid w:val="00925A90"/>
    <w:rsid w:val="00931652"/>
    <w:rsid w:val="00975A8B"/>
    <w:rsid w:val="009936FB"/>
    <w:rsid w:val="00A73995"/>
    <w:rsid w:val="00A746F6"/>
    <w:rsid w:val="00A84C43"/>
    <w:rsid w:val="00A85C35"/>
    <w:rsid w:val="00AB0851"/>
    <w:rsid w:val="00AE3596"/>
    <w:rsid w:val="00AE594B"/>
    <w:rsid w:val="00AE63EA"/>
    <w:rsid w:val="00AF2186"/>
    <w:rsid w:val="00B36300"/>
    <w:rsid w:val="00BE7045"/>
    <w:rsid w:val="00C14925"/>
    <w:rsid w:val="00C52621"/>
    <w:rsid w:val="00C62865"/>
    <w:rsid w:val="00C7148A"/>
    <w:rsid w:val="00CD4380"/>
    <w:rsid w:val="00CE0B3F"/>
    <w:rsid w:val="00D02913"/>
    <w:rsid w:val="00D24D7F"/>
    <w:rsid w:val="00D62DFD"/>
    <w:rsid w:val="00E37143"/>
    <w:rsid w:val="00E4357D"/>
    <w:rsid w:val="00E8065F"/>
    <w:rsid w:val="00E83524"/>
    <w:rsid w:val="00F97068"/>
    <w:rsid w:val="00FA1E9C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9F8A"/>
  <w15:docId w15:val="{C9DEE5A7-2896-45AB-BF05-273309FC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7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livezilebn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7/70/Coat_of_arms_of_Romania.svg/250px-Coat_of_arms_of_Romania.svg.png" TargetMode="External"/><Relationship Id="rId12" Type="http://schemas.openxmlformats.org/officeDocument/2006/relationships/hyperlink" Target="https://www.primarialivezilebn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rimarialivezilebn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imarialivezileb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marialivezilebn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B861-B977-4025-9E99-052C6239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</dc:creator>
  <cp:keywords/>
  <dc:description/>
  <cp:lastModifiedBy>Emanuela Mihalachi</cp:lastModifiedBy>
  <cp:revision>53</cp:revision>
  <cp:lastPrinted>2025-01-27T06:08:00Z</cp:lastPrinted>
  <dcterms:created xsi:type="dcterms:W3CDTF">2023-03-07T10:58:00Z</dcterms:created>
  <dcterms:modified xsi:type="dcterms:W3CDTF">2025-01-27T06:08:00Z</dcterms:modified>
</cp:coreProperties>
</file>