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9554" w14:textId="77777777" w:rsidR="00655FE1" w:rsidRDefault="00655FE1" w:rsidP="0065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Anexa nr. 3 din PHCL nr. </w:t>
      </w:r>
    </w:p>
    <w:p w14:paraId="1BA51B6A" w14:textId="77777777" w:rsidR="00655FE1" w:rsidRDefault="00655FE1" w:rsidP="0065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8D12D" w14:textId="4DFA6FF0" w:rsidR="00655FE1" w:rsidRDefault="00655FE1" w:rsidP="0065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5B0162D" w14:textId="45C3A474" w:rsidR="00655FE1" w:rsidRPr="008470AC" w:rsidRDefault="00655FE1" w:rsidP="0065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AC">
        <w:rPr>
          <w:rFonts w:ascii="Times New Roman" w:hAnsi="Times New Roman" w:cs="Times New Roman"/>
          <w:b/>
          <w:sz w:val="28"/>
          <w:szCs w:val="28"/>
        </w:rPr>
        <w:t>SCURT ISTORIC</w:t>
      </w:r>
    </w:p>
    <w:p w14:paraId="3E927660" w14:textId="77777777" w:rsidR="008470AC" w:rsidRPr="008470AC" w:rsidRDefault="008470AC" w:rsidP="0065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A6060" w14:textId="77777777" w:rsidR="008470AC" w:rsidRPr="008470AC" w:rsidRDefault="008470AC" w:rsidP="00847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AC">
        <w:rPr>
          <w:rFonts w:ascii="Times New Roman" w:hAnsi="Times New Roman" w:cs="Times New Roman"/>
          <w:b/>
          <w:sz w:val="28"/>
          <w:szCs w:val="28"/>
        </w:rPr>
        <w:t xml:space="preserve">Repere istorice legate de teritoriul comunei </w:t>
      </w:r>
      <w:proofErr w:type="spellStart"/>
      <w:r w:rsidRPr="008470AC">
        <w:rPr>
          <w:rFonts w:ascii="Times New Roman" w:hAnsi="Times New Roman" w:cs="Times New Roman"/>
          <w:b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b/>
          <w:sz w:val="28"/>
          <w:szCs w:val="28"/>
        </w:rPr>
        <w:t xml:space="preserve"> – Vrancea</w:t>
      </w:r>
    </w:p>
    <w:p w14:paraId="5D470890" w14:textId="77777777" w:rsidR="008470AC" w:rsidRPr="008470AC" w:rsidRDefault="008470AC" w:rsidP="008470AC">
      <w:pPr>
        <w:numPr>
          <w:ilvl w:val="0"/>
          <w:numId w:val="1"/>
        </w:numPr>
        <w:tabs>
          <w:tab w:val="clear" w:pos="722"/>
          <w:tab w:val="num" w:pos="426"/>
        </w:tabs>
        <w:spacing w:after="0" w:line="240" w:lineRule="auto"/>
        <w:ind w:left="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Menţionăm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 că printre piesele din depozitele de la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Budeşti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Dragosloveni se află</w:t>
      </w:r>
    </w:p>
    <w:p w14:paraId="09206118" w14:textId="77777777" w:rsidR="008470AC" w:rsidRPr="008470AC" w:rsidRDefault="008470AC" w:rsidP="008470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două brăzdare asimetrice fapt ce ne determină să credem că lumea carpato-dunăreană stăpânea încă din această perioadă anumite procedee de tehnică agrară, bine cunoscute în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spaţiul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românesc începând cu secolul al XIV-lea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mai ales în secolele XV-XVI, după cum dovedesc descoperirile de la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>Goleşti-Focşani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, unde a fost descoperit </w:t>
      </w:r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un depozit din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>şase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brăzdare asimetrice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>” (...)</w:t>
      </w:r>
      <w:r w:rsidRPr="008470AC">
        <w:rPr>
          <w:rFonts w:ascii="Times New Roman" w:hAnsi="Times New Roman" w:cs="Times New Roman"/>
          <w:b/>
          <w:sz w:val="28"/>
          <w:szCs w:val="28"/>
        </w:rPr>
        <w:t>.  (</w:t>
      </w:r>
      <w:r w:rsidRPr="008470AC">
        <w:rPr>
          <w:rFonts w:ascii="Times New Roman" w:hAnsi="Times New Roman" w:cs="Times New Roman"/>
          <w:sz w:val="28"/>
          <w:szCs w:val="28"/>
        </w:rPr>
        <w:t xml:space="preserve">conform lui Paragină, Anton, 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Habitatul medieval la curbura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Carpaţilor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în secolele X-XV</w:t>
      </w:r>
      <w:r w:rsidRPr="008470AC">
        <w:rPr>
          <w:rFonts w:ascii="Times New Roman" w:hAnsi="Times New Roman" w:cs="Times New Roman"/>
          <w:sz w:val="28"/>
          <w:szCs w:val="28"/>
        </w:rPr>
        <w:t xml:space="preserve">, Editura Istros, Brăila, 2002, p. 51). </w:t>
      </w:r>
    </w:p>
    <w:p w14:paraId="3A3994F5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</w:rPr>
        <w:t xml:space="preserve">Dovada arheologică de mai sus demonstrează </w:t>
      </w:r>
      <w:r w:rsidRPr="008470AC">
        <w:rPr>
          <w:rFonts w:ascii="Times New Roman" w:hAnsi="Times New Roman" w:cs="Times New Roman"/>
          <w:b/>
          <w:sz w:val="28"/>
          <w:szCs w:val="28"/>
        </w:rPr>
        <w:t xml:space="preserve">practicarea agriculturii în regiunea </w:t>
      </w:r>
      <w:proofErr w:type="spellStart"/>
      <w:r w:rsidRPr="008470AC">
        <w:rPr>
          <w:rFonts w:ascii="Times New Roman" w:hAnsi="Times New Roman" w:cs="Times New Roman"/>
          <w:b/>
          <w:sz w:val="28"/>
          <w:szCs w:val="28"/>
        </w:rPr>
        <w:t>Goleştilor</w:t>
      </w:r>
      <w:proofErr w:type="spellEnd"/>
      <w:r w:rsidRPr="008470AC">
        <w:rPr>
          <w:rFonts w:ascii="Times New Roman" w:hAnsi="Times New Roman" w:cs="Times New Roman"/>
          <w:b/>
          <w:sz w:val="28"/>
          <w:szCs w:val="28"/>
        </w:rPr>
        <w:t>,</w:t>
      </w:r>
      <w:r w:rsidRPr="008470AC">
        <w:rPr>
          <w:rFonts w:ascii="Times New Roman" w:hAnsi="Times New Roman" w:cs="Times New Roman"/>
          <w:sz w:val="28"/>
          <w:szCs w:val="28"/>
        </w:rPr>
        <w:t xml:space="preserve"> cel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din perioada medievală a </w:t>
      </w:r>
      <w:r w:rsidRPr="008470AC">
        <w:rPr>
          <w:rFonts w:ascii="Times New Roman" w:hAnsi="Times New Roman" w:cs="Times New Roman"/>
          <w:b/>
          <w:sz w:val="28"/>
          <w:szCs w:val="28"/>
        </w:rPr>
        <w:t>secolelor XV-XVI</w:t>
      </w:r>
      <w:r w:rsidRPr="00847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>menţiune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rară</w:t>
      </w:r>
      <w:r w:rsidRPr="008470AC">
        <w:rPr>
          <w:rFonts w:ascii="Times New Roman" w:hAnsi="Times New Roman" w:cs="Times New Roman"/>
          <w:sz w:val="28"/>
          <w:szCs w:val="28"/>
        </w:rPr>
        <w:t xml:space="preserve"> în documentele de specialitate ale arheologilor ce studiază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regiunea de câmpie traversată de apa Milcovului. Legat de acest aspect se poate propune ca simbol reprezentativ al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aşezării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cununa de cereale având central imaginea stilizată a brăzdarului de plug.</w:t>
      </w:r>
    </w:p>
    <w:p w14:paraId="7EC81FF6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b/>
          <w:sz w:val="28"/>
          <w:szCs w:val="28"/>
        </w:rPr>
        <w:t>Milcovul</w:t>
      </w:r>
      <w:r w:rsidRPr="008470AC">
        <w:rPr>
          <w:rFonts w:ascii="Times New Roman" w:hAnsi="Times New Roman" w:cs="Times New Roman"/>
          <w:sz w:val="28"/>
          <w:szCs w:val="28"/>
        </w:rPr>
        <w:t xml:space="preserve"> ce traversează localitatea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o desparte în două este reprezentativ pentru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dar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pentru istoria modernă a românilor,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deşi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vechea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graniţă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ce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despărţea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Focşanii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Moldovei de cei ai Munteniei nu se afla de-a lungul acestei ape;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totuşi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Milcovul trebuie să se regăsească în stema comunei, fie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numai pentru faptul că poetul scria: </w:t>
      </w:r>
    </w:p>
    <w:p w14:paraId="5E7F2969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0AC">
        <w:rPr>
          <w:rFonts w:ascii="Times New Roman" w:hAnsi="Times New Roman" w:cs="Times New Roman"/>
          <w:i/>
          <w:sz w:val="28"/>
          <w:szCs w:val="28"/>
        </w:rPr>
        <w:t xml:space="preserve">„Vin’ la 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>Milcov</w:t>
      </w:r>
      <w:r w:rsidRPr="008470AC">
        <w:rPr>
          <w:rFonts w:ascii="Times New Roman" w:hAnsi="Times New Roman" w:cs="Times New Roman"/>
          <w:i/>
          <w:sz w:val="28"/>
          <w:szCs w:val="28"/>
        </w:rPr>
        <w:t xml:space="preserve"> cu grăbire</w:t>
      </w:r>
    </w:p>
    <w:p w14:paraId="4F648386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0AC">
        <w:rPr>
          <w:rFonts w:ascii="Times New Roman" w:hAnsi="Times New Roman" w:cs="Times New Roman"/>
          <w:i/>
          <w:sz w:val="28"/>
          <w:szCs w:val="28"/>
        </w:rPr>
        <w:t>Să-l secăm dintr-o sorbire</w:t>
      </w:r>
    </w:p>
    <w:p w14:paraId="5E169879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0AC">
        <w:rPr>
          <w:rFonts w:ascii="Times New Roman" w:hAnsi="Times New Roman" w:cs="Times New Roman"/>
          <w:i/>
          <w:sz w:val="28"/>
          <w:szCs w:val="28"/>
        </w:rPr>
        <w:t>Ca să treacă drumul mare</w:t>
      </w:r>
    </w:p>
    <w:p w14:paraId="23E45045" w14:textId="77777777" w:rsidR="008470AC" w:rsidRPr="008470AC" w:rsidRDefault="008470AC" w:rsidP="008470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i/>
          <w:sz w:val="28"/>
          <w:szCs w:val="28"/>
        </w:rPr>
        <w:t>Peste-a noastre vechi hotare”.</w:t>
      </w:r>
    </w:p>
    <w:p w14:paraId="4FF8027F" w14:textId="77777777" w:rsidR="008470AC" w:rsidRPr="008470AC" w:rsidRDefault="008470AC" w:rsidP="008470AC">
      <w:pPr>
        <w:numPr>
          <w:ilvl w:val="0"/>
          <w:numId w:val="1"/>
        </w:numPr>
        <w:tabs>
          <w:tab w:val="clear" w:pos="722"/>
          <w:tab w:val="num" w:pos="362"/>
        </w:tabs>
        <w:spacing w:after="0" w:line="240" w:lineRule="auto"/>
        <w:ind w:left="0" w:firstLine="36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70AC">
        <w:rPr>
          <w:rFonts w:ascii="Times New Roman" w:hAnsi="Times New Roman" w:cs="Times New Roman"/>
          <w:iCs/>
          <w:sz w:val="28"/>
          <w:szCs w:val="28"/>
        </w:rPr>
        <w:t xml:space="preserve">Biserica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Sf.Nicolae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din localitatea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, conform mărturiilor bătrânilor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a celor rămase în memoria localnicilor, a fost ridicată cu sprijinul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însuşi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al domnitorului Al.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I.Cuza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, care se spune că a tras el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însuşi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cu arcul, după vechiul obicei de ctitorire a unui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locaş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ecleziastic,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acolo unde a căzut săgeata s-a ridicat </w:t>
      </w:r>
      <w:proofErr w:type="spellStart"/>
      <w:r w:rsidRPr="008470AC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iCs/>
          <w:sz w:val="28"/>
          <w:szCs w:val="28"/>
        </w:rPr>
        <w:t xml:space="preserve"> biserica, respectiv pe malul drept al Milcovului. </w:t>
      </w:r>
    </w:p>
    <w:p w14:paraId="261D0963" w14:textId="77777777" w:rsidR="008470AC" w:rsidRPr="008470AC" w:rsidRDefault="008470AC" w:rsidP="00847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0AC">
        <w:rPr>
          <w:rFonts w:ascii="Times New Roman" w:hAnsi="Times New Roman" w:cs="Times New Roman"/>
          <w:sz w:val="28"/>
          <w:szCs w:val="28"/>
        </w:rPr>
        <w:t>Aşadar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biserica ar fi ridicată în a doua jumătate a secolului al XIX-lea, ea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constituindu-se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în alt punct de reper istoric al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comunităţii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ce ar putea fi sursă de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inspiraţie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în alegerea simbolică privind întocmirea stemei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Goleştilor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2F79D0" w14:textId="77777777" w:rsidR="008470AC" w:rsidRPr="008470AC" w:rsidRDefault="008470AC" w:rsidP="008470AC">
      <w:pPr>
        <w:numPr>
          <w:ilvl w:val="0"/>
          <w:numId w:val="1"/>
        </w:numPr>
        <w:tabs>
          <w:tab w:val="clear" w:pos="722"/>
        </w:tabs>
        <w:spacing w:after="0" w:line="240" w:lineRule="auto"/>
        <w:ind w:left="0" w:firstLine="362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</w:rPr>
        <w:t xml:space="preserve">Un alt punct de reper, 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>atestat documentar</w:t>
      </w:r>
      <w:r w:rsidRPr="008470AC">
        <w:rPr>
          <w:rFonts w:ascii="Times New Roman" w:hAnsi="Times New Roman" w:cs="Times New Roman"/>
          <w:sz w:val="28"/>
          <w:szCs w:val="28"/>
        </w:rPr>
        <w:t xml:space="preserve">, este </w:t>
      </w:r>
      <w:proofErr w:type="spellStart"/>
      <w:r w:rsidRPr="008470AC">
        <w:rPr>
          <w:rFonts w:ascii="Times New Roman" w:hAnsi="Times New Roman" w:cs="Times New Roman"/>
          <w:b/>
          <w:sz w:val="28"/>
          <w:szCs w:val="28"/>
        </w:rPr>
        <w:t>Şcoala</w:t>
      </w:r>
      <w:proofErr w:type="spellEnd"/>
      <w:r w:rsidRPr="008470AC">
        <w:rPr>
          <w:rFonts w:ascii="Times New Roman" w:hAnsi="Times New Roman" w:cs="Times New Roman"/>
          <w:b/>
          <w:sz w:val="28"/>
          <w:szCs w:val="28"/>
        </w:rPr>
        <w:t xml:space="preserve"> Generală din </w:t>
      </w:r>
      <w:proofErr w:type="spellStart"/>
      <w:r w:rsidRPr="008470AC">
        <w:rPr>
          <w:rFonts w:ascii="Times New Roman" w:hAnsi="Times New Roman" w:cs="Times New Roman"/>
          <w:b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0AC">
        <w:rPr>
          <w:rFonts w:ascii="Times New Roman" w:hAnsi="Times New Roman" w:cs="Times New Roman"/>
          <w:sz w:val="28"/>
          <w:szCs w:val="28"/>
        </w:rPr>
        <w:t xml:space="preserve">întemeiată în urma Legii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Instrucţiunii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Publice dată tot în vremea domnitorului Al.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I.Cuza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Astfel, în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acestui punct de vedere cităm din cartea autorilor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N.Şt.Mihăilescu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Macovei, intitulată „Valea Putnei”: „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O oarecare înviorare în dezvoltarea culturală a satelor din bazinul Putnei s-a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simţit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după 1864, când, prin aplicarea legii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obligativităţii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învăţământului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au luat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fiinţă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numeroase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şcoli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. Astfel s-au deschis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şcoli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în comunele (...)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 (1887) (...)</w:t>
      </w:r>
      <w:r w:rsidRPr="008470AC">
        <w:rPr>
          <w:rFonts w:ascii="Times New Roman" w:hAnsi="Times New Roman" w:cs="Times New Roman"/>
          <w:sz w:val="28"/>
          <w:szCs w:val="28"/>
        </w:rPr>
        <w:t xml:space="preserve">”, (conform N.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Şt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Mihăilescu,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Şt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N. Mihăilescu, V. Macovei, </w:t>
      </w:r>
      <w:r w:rsidRPr="008470AC">
        <w:rPr>
          <w:rFonts w:ascii="Times New Roman" w:hAnsi="Times New Roman" w:cs="Times New Roman"/>
          <w:b/>
          <w:i/>
          <w:sz w:val="28"/>
          <w:szCs w:val="28"/>
        </w:rPr>
        <w:t>Valea Putnei cu privire specială asupra Vrancei</w:t>
      </w:r>
      <w:r w:rsidRPr="008470AC">
        <w:rPr>
          <w:rFonts w:ascii="Times New Roman" w:hAnsi="Times New Roman" w:cs="Times New Roman"/>
          <w:sz w:val="28"/>
          <w:szCs w:val="28"/>
        </w:rPr>
        <w:t xml:space="preserve">, Editura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Ştiinţifică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>, 1970, p.132).</w:t>
      </w:r>
    </w:p>
    <w:p w14:paraId="72F51B4F" w14:textId="77777777" w:rsidR="008470AC" w:rsidRPr="008470AC" w:rsidRDefault="008470AC" w:rsidP="008470AC">
      <w:pPr>
        <w:numPr>
          <w:ilvl w:val="0"/>
          <w:numId w:val="1"/>
        </w:numPr>
        <w:tabs>
          <w:tab w:val="clear" w:pos="722"/>
          <w:tab w:val="num" w:pos="362"/>
        </w:tabs>
        <w:spacing w:after="0" w:line="240" w:lineRule="auto"/>
        <w:ind w:left="0" w:firstLine="362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Drumul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Poştelor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: acesta trecea prin actuala comună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fiind mai sus de actualul pod ce traversează râul Milcov. Pe acest drum a trecut de mai multe ori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însuşi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Cuza în ambele sensuri, către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Iaşi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în fosta capitală a Moldovei sau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devenită capitala României din 1862. </w:t>
      </w:r>
    </w:p>
    <w:p w14:paraId="5B2800A3" w14:textId="77777777" w:rsidR="008470AC" w:rsidRDefault="008470AC" w:rsidP="008470AC">
      <w:pPr>
        <w:spacing w:after="0"/>
        <w:ind w:firstLine="362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b/>
          <w:i/>
          <w:sz w:val="28"/>
          <w:szCs w:val="28"/>
        </w:rPr>
        <w:t xml:space="preserve">Drumul </w:t>
      </w:r>
      <w:proofErr w:type="spellStart"/>
      <w:r w:rsidRPr="008470AC">
        <w:rPr>
          <w:rFonts w:ascii="Times New Roman" w:hAnsi="Times New Roman" w:cs="Times New Roman"/>
          <w:b/>
          <w:i/>
          <w:sz w:val="28"/>
          <w:szCs w:val="28"/>
        </w:rPr>
        <w:t>Poştelor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era o cale de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comunicaţie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internaţională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pe unde negustorii timpului traversau cu caravanele lor de mărfuri din Balcani către Occident. Drumul a fost distrus de către fostul CAP al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localităţii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În vecinătatea sa era un han ce avea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un beci ce adăpostea vinurile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goleştenilor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acesta fiind folosit ca loc de popas pentru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poştalioanele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în trecere.</w:t>
      </w:r>
    </w:p>
    <w:p w14:paraId="0DD3C37F" w14:textId="0D4612EF" w:rsidR="00655FE1" w:rsidRPr="008470AC" w:rsidRDefault="00655FE1" w:rsidP="0084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70AC">
        <w:rPr>
          <w:rFonts w:ascii="Times New Roman" w:hAnsi="Times New Roman" w:cs="Times New Roman"/>
          <w:b/>
          <w:bCs/>
          <w:sz w:val="28"/>
          <w:szCs w:val="28"/>
        </w:rPr>
        <w:t xml:space="preserve">Denumirea </w:t>
      </w:r>
      <w:proofErr w:type="spellStart"/>
      <w:r w:rsidRPr="008470AC">
        <w:rPr>
          <w:rFonts w:ascii="Times New Roman" w:hAnsi="Times New Roman" w:cs="Times New Roman"/>
          <w:b/>
          <w:bCs/>
          <w:sz w:val="28"/>
          <w:szCs w:val="28"/>
        </w:rPr>
        <w:t>localităţii</w:t>
      </w:r>
      <w:proofErr w:type="spellEnd"/>
      <w:r w:rsidRPr="008470A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470AC">
        <w:rPr>
          <w:rFonts w:ascii="Times New Roman" w:hAnsi="Times New Roman" w:cs="Times New Roman"/>
          <w:b/>
          <w:bCs/>
          <w:sz w:val="28"/>
          <w:szCs w:val="28"/>
        </w:rPr>
        <w:t>reşedinţă</w:t>
      </w:r>
      <w:proofErr w:type="spellEnd"/>
      <w:r w:rsidRPr="008470AC">
        <w:rPr>
          <w:rFonts w:ascii="Times New Roman" w:hAnsi="Times New Roman" w:cs="Times New Roman"/>
          <w:b/>
          <w:bCs/>
          <w:sz w:val="28"/>
          <w:szCs w:val="28"/>
        </w:rPr>
        <w:t xml:space="preserve"> este </w:t>
      </w:r>
      <w:proofErr w:type="spellStart"/>
      <w:r w:rsidRPr="008470AC">
        <w:rPr>
          <w:rFonts w:ascii="Times New Roman" w:hAnsi="Times New Roman" w:cs="Times New Roman"/>
          <w:b/>
          <w:bCs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FFFA187" w14:textId="77777777" w:rsidR="00655FE1" w:rsidRPr="008470AC" w:rsidRDefault="00655FE1" w:rsidP="008470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</w:rPr>
        <w:t xml:space="preserve">Din documentele Studiate la „Arhivele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ale României” –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Vrancea,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referitoare la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se pot întregi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apelându-se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la izvoare istoriografice de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din trecut, între care „Marele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dicţionar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geografic al României” – autori, Grigore Tocilescu, Ioan Lahovari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C.I. Brătianu - editat la cumpăna secolelor al XIX-lea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al XX-lea. </w:t>
      </w:r>
    </w:p>
    <w:p w14:paraId="5CE468F8" w14:textId="77777777" w:rsidR="00655FE1" w:rsidRPr="008470AC" w:rsidRDefault="00655FE1" w:rsidP="00847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</w:rPr>
        <w:t xml:space="preserve">În monumentala lucrare - bazată pe monografiile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judeţelor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ţării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- compusă din cinci volume consistente în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descoperim, căutând după indicele alfabetic, date cu privire la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>. Astfel, în al III-lea volum se scrie: „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e o comună rurală în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Rm.Sărat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plasa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Oraşului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pe pârâul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Dâlgov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Este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aşezată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în partea de nord 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la 36 kilometri spre nord de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oraşul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R. Sărat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în partea estică 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plăşei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la 9 kilometri spre est de comuna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Coteşti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plăşei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BE363" w14:textId="77777777" w:rsidR="00655FE1" w:rsidRPr="008470AC" w:rsidRDefault="00655FE1" w:rsidP="008470AC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470AC">
        <w:rPr>
          <w:sz w:val="28"/>
          <w:szCs w:val="28"/>
        </w:rPr>
        <w:t xml:space="preserve">La sfârșitul secolului al XIX-lea, comuna făcea parte din plasa Orașului a </w:t>
      </w:r>
      <w:hyperlink r:id="rId5" w:tooltip="Județul Râmnicu Sărat" w:history="1">
        <w:r w:rsidRPr="008470AC">
          <w:rPr>
            <w:rStyle w:val="Hyperlink"/>
            <w:color w:val="auto"/>
            <w:sz w:val="28"/>
            <w:szCs w:val="28"/>
          </w:rPr>
          <w:t>județului Râmnicu Sărat</w:t>
        </w:r>
      </w:hyperlink>
      <w:r w:rsidRPr="008470AC">
        <w:rPr>
          <w:sz w:val="28"/>
          <w:szCs w:val="28"/>
        </w:rPr>
        <w:t xml:space="preserve"> și avea în compunere doar satul de reședință, împreună cu o mică despărțitură a lui, denumită „</w:t>
      </w:r>
      <w:proofErr w:type="spellStart"/>
      <w:r w:rsidRPr="008470AC">
        <w:rPr>
          <w:sz w:val="28"/>
          <w:szCs w:val="28"/>
        </w:rPr>
        <w:t>Cerdacu</w:t>
      </w:r>
      <w:proofErr w:type="spellEnd"/>
      <w:r w:rsidRPr="008470AC">
        <w:rPr>
          <w:sz w:val="28"/>
          <w:szCs w:val="28"/>
        </w:rPr>
        <w:t xml:space="preserve">” și aflată pe malul Milcovului, având în total 1010 locuitori. În comună funcționau o biserică zidită în 1861 și o școală mixtă cu 60 de elevi. Anuarul </w:t>
      </w:r>
      <w:proofErr w:type="spellStart"/>
      <w:r w:rsidRPr="008470AC">
        <w:rPr>
          <w:sz w:val="28"/>
          <w:szCs w:val="28"/>
        </w:rPr>
        <w:t>Socec</w:t>
      </w:r>
      <w:proofErr w:type="spellEnd"/>
      <w:r w:rsidRPr="008470AC">
        <w:rPr>
          <w:sz w:val="28"/>
          <w:szCs w:val="28"/>
        </w:rPr>
        <w:t xml:space="preserve"> din 1925 consemnează comuna cu satele Golești, </w:t>
      </w:r>
      <w:proofErr w:type="spellStart"/>
      <w:r w:rsidRPr="008470AC">
        <w:rPr>
          <w:sz w:val="28"/>
          <w:szCs w:val="28"/>
        </w:rPr>
        <w:t>Cerdacu</w:t>
      </w:r>
      <w:proofErr w:type="spellEnd"/>
      <w:r w:rsidRPr="008470AC">
        <w:rPr>
          <w:sz w:val="28"/>
          <w:szCs w:val="28"/>
        </w:rPr>
        <w:t xml:space="preserve"> și Satu Nou și 1250 de locuitori în plasa Cotești a aceluiași județ. </w:t>
      </w:r>
    </w:p>
    <w:p w14:paraId="146F1905" w14:textId="77777777" w:rsidR="00655FE1" w:rsidRPr="008470AC" w:rsidRDefault="00655FE1" w:rsidP="008470AC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470AC">
        <w:rPr>
          <w:sz w:val="28"/>
          <w:szCs w:val="28"/>
        </w:rPr>
        <w:t xml:space="preserve">În 1950, comuna a trecut în administrarea raionului Focșani din </w:t>
      </w:r>
      <w:hyperlink r:id="rId6" w:tooltip="Regiunea Putna — pagină inexistentă" w:history="1">
        <w:r w:rsidRPr="008470AC">
          <w:rPr>
            <w:rStyle w:val="Hyperlink"/>
            <w:color w:val="auto"/>
            <w:sz w:val="28"/>
            <w:szCs w:val="28"/>
          </w:rPr>
          <w:t>regiunea Putna</w:t>
        </w:r>
      </w:hyperlink>
      <w:r w:rsidRPr="008470AC">
        <w:rPr>
          <w:sz w:val="28"/>
          <w:szCs w:val="28"/>
        </w:rPr>
        <w:t xml:space="preserve">, apoi (după 1952) din </w:t>
      </w:r>
      <w:hyperlink r:id="rId7" w:tooltip="Regiunea Bârlad — pagină inexistentă" w:history="1">
        <w:r w:rsidRPr="008470AC">
          <w:rPr>
            <w:rStyle w:val="Hyperlink"/>
            <w:color w:val="auto"/>
            <w:sz w:val="28"/>
            <w:szCs w:val="28"/>
          </w:rPr>
          <w:t>regiunea Bârlad</w:t>
        </w:r>
      </w:hyperlink>
      <w:r w:rsidRPr="008470AC">
        <w:rPr>
          <w:sz w:val="28"/>
          <w:szCs w:val="28"/>
        </w:rPr>
        <w:t xml:space="preserve"> și (după 1956) din </w:t>
      </w:r>
      <w:hyperlink r:id="rId8" w:tooltip="Regiunea Galați" w:history="1">
        <w:r w:rsidRPr="008470AC">
          <w:rPr>
            <w:rStyle w:val="Hyperlink"/>
            <w:color w:val="auto"/>
            <w:sz w:val="28"/>
            <w:szCs w:val="28"/>
          </w:rPr>
          <w:t>regiunea Galați</w:t>
        </w:r>
      </w:hyperlink>
      <w:r w:rsidRPr="008470AC">
        <w:rPr>
          <w:sz w:val="28"/>
          <w:szCs w:val="28"/>
        </w:rPr>
        <w:t xml:space="preserve">. În 1968 a fost transferată la </w:t>
      </w:r>
      <w:hyperlink r:id="rId9" w:tooltip="Județul Vrancea" w:history="1">
        <w:r w:rsidRPr="008470AC">
          <w:rPr>
            <w:rStyle w:val="Hyperlink"/>
            <w:color w:val="auto"/>
            <w:sz w:val="28"/>
            <w:szCs w:val="28"/>
          </w:rPr>
          <w:t>județul Vrancea</w:t>
        </w:r>
      </w:hyperlink>
      <w:r w:rsidRPr="008470AC">
        <w:rPr>
          <w:sz w:val="28"/>
          <w:szCs w:val="28"/>
        </w:rPr>
        <w:t xml:space="preserve">, jucând rol de comună suburbană a municipiului </w:t>
      </w:r>
      <w:hyperlink r:id="rId10" w:tooltip="Focșani" w:history="1">
        <w:proofErr w:type="spellStart"/>
        <w:r w:rsidRPr="008470AC">
          <w:rPr>
            <w:rStyle w:val="Hyperlink"/>
            <w:color w:val="auto"/>
            <w:sz w:val="28"/>
            <w:szCs w:val="28"/>
          </w:rPr>
          <w:t>Focșani</w:t>
        </w:r>
      </w:hyperlink>
      <w:r w:rsidRPr="008470AC">
        <w:rPr>
          <w:sz w:val="28"/>
          <w:szCs w:val="28"/>
        </w:rPr>
        <w:t>.În</w:t>
      </w:r>
      <w:proofErr w:type="spellEnd"/>
      <w:r w:rsidRPr="008470AC">
        <w:rPr>
          <w:sz w:val="28"/>
          <w:szCs w:val="28"/>
        </w:rPr>
        <w:t xml:space="preserve"> 1989, s-a renunțat la conceptul de comună suburbană, iar comuna Golești a fost subordonată direct județului Vrancea. </w:t>
      </w:r>
    </w:p>
    <w:p w14:paraId="051F964F" w14:textId="77777777" w:rsidR="00655FE1" w:rsidRPr="008470AC" w:rsidRDefault="00655FE1" w:rsidP="00847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  <w:lang w:val="it-IT"/>
        </w:rPr>
        <w:t xml:space="preserve"> Referitor la cătunul„Ceardac”, parte componentă a comunei Goleşti, se afirma „Ceardacul e sat în judeţul R.-Sărat, plasa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Oraşul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, cătun al comunei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Goleşti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-a luat numele de la un ceardac–în limba turcă, termenul este tradus prin verandă,  – făcut aici de turci. Este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aşezat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pe ambele maluri ale râului Milcov” (vezi Marele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dicţionar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geografic…, op.cit., p. 310, vol. al II-lea).  </w:t>
      </w:r>
    </w:p>
    <w:p w14:paraId="27D5FEBC" w14:textId="77777777" w:rsidR="00655FE1" w:rsidRPr="008470AC" w:rsidRDefault="00655FE1" w:rsidP="008470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0AC">
        <w:rPr>
          <w:rFonts w:ascii="Times New Roman" w:hAnsi="Times New Roman" w:cs="Times New Roman"/>
          <w:sz w:val="28"/>
          <w:szCs w:val="28"/>
        </w:rPr>
        <w:t xml:space="preserve">Azi, Ceardacul se </w:t>
      </w:r>
      <w:proofErr w:type="spellStart"/>
      <w:r w:rsidRPr="008470AC">
        <w:rPr>
          <w:rFonts w:ascii="Times New Roman" w:hAnsi="Times New Roman" w:cs="Times New Roman"/>
          <w:sz w:val="28"/>
          <w:szCs w:val="28"/>
        </w:rPr>
        <w:t>găseşte</w:t>
      </w:r>
      <w:proofErr w:type="spellEnd"/>
      <w:r w:rsidRPr="008470AC">
        <w:rPr>
          <w:rFonts w:ascii="Times New Roman" w:hAnsi="Times New Roman" w:cs="Times New Roman"/>
          <w:sz w:val="28"/>
          <w:szCs w:val="28"/>
        </w:rPr>
        <w:t xml:space="preserve"> pe malul stâng al Milcovului, pe partea mai înaltă, terasată, a respectivei ape. </w:t>
      </w:r>
    </w:p>
    <w:p w14:paraId="727165B8" w14:textId="77777777" w:rsidR="006D1C91" w:rsidRPr="008470AC" w:rsidRDefault="006D1C91" w:rsidP="008470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1C91" w:rsidRPr="008470AC" w:rsidSect="00655F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75743"/>
    <w:multiLevelType w:val="hybridMultilevel"/>
    <w:tmpl w:val="43B25E1A"/>
    <w:lvl w:ilvl="0" w:tplc="9B10373C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8917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84"/>
    <w:rsid w:val="00586A84"/>
    <w:rsid w:val="00655FE1"/>
    <w:rsid w:val="006D1C91"/>
    <w:rsid w:val="008470AC"/>
    <w:rsid w:val="00F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15F1"/>
  <w15:chartTrackingRefBased/>
  <w15:docId w15:val="{B184ABAD-B52F-4517-BEA0-3958469A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E1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rsid w:val="00655FE1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Regiunea_Gala%C8%9B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.wikipedia.org/w/index.php?title=Regiunea_B%C3%A2rlad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.wikipedia.org/w/index.php?title=Regiunea_Putna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o.wikipedia.org/wiki/Jude%C8%9Bul_R%C3%A2mnicu_S%C4%83rat" TargetMode="External"/><Relationship Id="rId10" Type="http://schemas.openxmlformats.org/officeDocument/2006/relationships/hyperlink" Target="http://ro.wikipedia.org/wiki/Foc%C8%99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iki/Jude%C8%9Bul_Vrance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957</Words>
  <Characters>5554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3</cp:revision>
  <dcterms:created xsi:type="dcterms:W3CDTF">2024-09-10T10:50:00Z</dcterms:created>
  <dcterms:modified xsi:type="dcterms:W3CDTF">2024-09-10T10:55:00Z</dcterms:modified>
</cp:coreProperties>
</file>