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012A0" w:rsidRPr="00C63CBE" w14:paraId="12A72283" w14:textId="77777777" w:rsidTr="00E06BA9">
        <w:tc>
          <w:tcPr>
            <w:tcW w:w="9350" w:type="dxa"/>
            <w:gridSpan w:val="2"/>
            <w:shd w:val="clear" w:color="auto" w:fill="AEAAAA" w:themeFill="background2" w:themeFillShade="BF"/>
          </w:tcPr>
          <w:p w14:paraId="39B7E6A5" w14:textId="77777777" w:rsidR="006012A0" w:rsidRPr="002D2F3D" w:rsidRDefault="006012A0" w:rsidP="00E06BA9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5F1815B7" w14:textId="77777777" w:rsidR="006012A0" w:rsidRPr="002D2F3D" w:rsidRDefault="006012A0" w:rsidP="00E06BA9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2D2F3D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29.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Amenajare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 zona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agrement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 in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parcul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Anton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Kratzer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, oras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Deta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județul</w:t>
            </w:r>
            <w:proofErr w:type="spellEnd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"/>
              </w:rPr>
              <w:t>Timiș</w:t>
            </w:r>
            <w:proofErr w:type="spellEnd"/>
          </w:p>
          <w:p w14:paraId="3A05FC26" w14:textId="77777777" w:rsidR="006012A0" w:rsidRPr="002D2F3D" w:rsidRDefault="006012A0" w:rsidP="00E06BA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white"/>
                <w:lang w:val="es-ES"/>
              </w:rPr>
            </w:pPr>
          </w:p>
        </w:tc>
      </w:tr>
      <w:tr w:rsidR="006012A0" w:rsidRPr="00FD7243" w14:paraId="55220739" w14:textId="77777777" w:rsidTr="00E06BA9">
        <w:tc>
          <w:tcPr>
            <w:tcW w:w="2335" w:type="dxa"/>
          </w:tcPr>
          <w:p w14:paraId="30E3B3DD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Localizarea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proiectului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2A77E893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r w:rsidRPr="00FD7243">
              <w:rPr>
                <w:rFonts w:asciiTheme="majorHAnsi" w:hAnsiTheme="majorHAnsi" w:cstheme="majorHAnsi"/>
                <w:b/>
                <w:highlight w:val="white"/>
              </w:rPr>
              <w:t>UAT Deta</w:t>
            </w:r>
          </w:p>
        </w:tc>
      </w:tr>
      <w:tr w:rsidR="006012A0" w:rsidRPr="00C63CBE" w14:paraId="3551FACB" w14:textId="77777777" w:rsidTr="00E06BA9">
        <w:tc>
          <w:tcPr>
            <w:tcW w:w="2335" w:type="dxa"/>
          </w:tcPr>
          <w:p w14:paraId="157BFBEA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Stadiul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actual:</w:t>
            </w:r>
          </w:p>
        </w:tc>
        <w:tc>
          <w:tcPr>
            <w:tcW w:w="7015" w:type="dxa"/>
          </w:tcPr>
          <w:p w14:paraId="507BEA31" w14:textId="77777777" w:rsidR="006012A0" w:rsidRPr="002D2F3D" w:rsidRDefault="006012A0" w:rsidP="00E06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2D2F3D">
              <w:rPr>
                <w:b/>
                <w:sz w:val="20"/>
                <w:szCs w:val="20"/>
                <w:lang w:val="es-ES"/>
              </w:rPr>
              <w:t>Parcul</w:t>
            </w:r>
            <w:proofErr w:type="spellEnd"/>
            <w:r w:rsidRPr="002D2F3D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sz w:val="20"/>
                <w:szCs w:val="20"/>
                <w:lang w:val="es-ES"/>
              </w:rPr>
              <w:t>orașului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Deta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reprezintă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unul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dintre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principalele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atracții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turistice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ale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localității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având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puternică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încărcătură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istorică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Având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întindere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de peste 14 ha,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astăzi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parcul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este o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rămășiță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pădurilor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care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existau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timpul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colonizărilor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localitatea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Deta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Suprafața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generoasă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este o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atracție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locuitorii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orașului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motiv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care este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necesar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să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se transforme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într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-o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adevărată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zonă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agreement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>.</w:t>
            </w:r>
          </w:p>
          <w:p w14:paraId="3CD43DC1" w14:textId="77777777" w:rsidR="006012A0" w:rsidRPr="002D2F3D" w:rsidRDefault="006012A0" w:rsidP="00E06BA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6012A0" w:rsidRPr="00FD7243" w14:paraId="3C6E5EB1" w14:textId="77777777" w:rsidTr="00E06BA9">
        <w:tc>
          <w:tcPr>
            <w:tcW w:w="2335" w:type="dxa"/>
          </w:tcPr>
          <w:p w14:paraId="250F03E2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Descrierea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proiectului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4C14A92D" w14:textId="77777777" w:rsidR="006012A0" w:rsidRPr="002D2F3D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Adăugarea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noi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facilități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recreere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: modernizare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dotare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terenuri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joacă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copii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terenuri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street-ball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alei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plimbări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bicicleta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trotinete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electrice, skate-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parc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>, etc.</w:t>
            </w:r>
          </w:p>
          <w:p w14:paraId="4FAB0667" w14:textId="77777777" w:rsidR="006012A0" w:rsidRPr="002D2F3D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Organizarea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evenimente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Organizarea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periodică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evenimente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parc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cum ar fi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concerte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festivaluri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târguri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artizanat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etc.,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atrage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vizitatori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oferi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oportunități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divertisment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comunitate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>.</w:t>
            </w:r>
          </w:p>
          <w:p w14:paraId="6F217C33" w14:textId="77777777" w:rsidR="006012A0" w:rsidRPr="002D2F3D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Instalarea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mobilier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public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bănci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mese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alte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tipuri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mobilier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public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oferi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oamenilor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un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loc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confortabil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relaxa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petrece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timp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liber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>.</w:t>
            </w:r>
          </w:p>
          <w:p w14:paraId="72A6A81C" w14:textId="77777777" w:rsidR="006012A0" w:rsidRPr="002D2F3D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Îngrijirea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parcului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Asigurarea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că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parcul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este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îngrijit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întreținut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poate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contribui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atractivitatea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crearea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unei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atmosfere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plăcute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vizitatori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>.</w:t>
            </w:r>
          </w:p>
          <w:p w14:paraId="7E8C3679" w14:textId="77777777" w:rsidR="006012A0" w:rsidRPr="002D2F3D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Asigurarea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condițiilor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igienă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montarea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cișmele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publice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toalete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publice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>.</w:t>
            </w:r>
          </w:p>
          <w:p w14:paraId="6412CD58" w14:textId="77777777" w:rsidR="006012A0" w:rsidRPr="002D2F3D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Semnalizarea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promovarea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parcului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Asigurarea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că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parcul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este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bine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semnalizat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promovat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poate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ajuta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atragerea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vizitatorilor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încurajarea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oamenilor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să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-l </w:t>
            </w:r>
            <w:proofErr w:type="spellStart"/>
            <w:proofErr w:type="gramStart"/>
            <w:r w:rsidRPr="002D2F3D">
              <w:rPr>
                <w:rFonts w:asciiTheme="majorHAnsi" w:hAnsiTheme="majorHAnsi" w:cstheme="majorHAnsi"/>
                <w:lang w:val="es-ES"/>
              </w:rPr>
              <w:t>exploreze.Reabilitarea</w:t>
            </w:r>
            <w:proofErr w:type="spellEnd"/>
            <w:proofErr w:type="gram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modernizarea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drumurilor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acces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utilităților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aferente,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rețelei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iluminat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public</w:t>
            </w:r>
            <w:proofErr w:type="spellEnd"/>
            <w:r w:rsidRPr="002D2F3D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2D2F3D">
              <w:rPr>
                <w:rFonts w:asciiTheme="majorHAnsi" w:hAnsiTheme="majorHAnsi" w:cstheme="majorHAnsi"/>
                <w:lang w:val="es-ES"/>
              </w:rPr>
              <w:t>etc</w:t>
            </w:r>
            <w:proofErr w:type="spellEnd"/>
          </w:p>
          <w:p w14:paraId="405C9FE1" w14:textId="77777777" w:rsidR="006012A0" w:rsidRPr="00FD7243" w:rsidRDefault="006012A0" w:rsidP="006012A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  <w:highlight w:val="white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Asigurare</w:t>
            </w:r>
            <w:proofErr w:type="spellEnd"/>
            <w:r w:rsidRPr="00D708F9">
              <w:rPr>
                <w:rFonts w:asciiTheme="majorHAnsi" w:hAnsiTheme="majorHAnsi" w:cstheme="majorHAnsi"/>
              </w:rPr>
              <w:t xml:space="preserve"> wi-fi.</w:t>
            </w:r>
          </w:p>
        </w:tc>
      </w:tr>
      <w:tr w:rsidR="006012A0" w:rsidRPr="00FD7243" w14:paraId="15C07A58" w14:textId="77777777" w:rsidTr="00E06BA9">
        <w:tc>
          <w:tcPr>
            <w:tcW w:w="2335" w:type="dxa"/>
          </w:tcPr>
          <w:p w14:paraId="713391FA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Grup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țintă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FD7243">
              <w:rPr>
                <w:rFonts w:asciiTheme="majorHAnsi" w:hAnsiTheme="majorHAnsi" w:cstheme="majorHAnsi"/>
              </w:rPr>
              <w:t>Beneficiari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potențiali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62741051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Populația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Detei </w:t>
            </w:r>
          </w:p>
          <w:p w14:paraId="19A2CDDE" w14:textId="77777777" w:rsidR="006012A0" w:rsidRPr="00795649" w:rsidRDefault="006012A0" w:rsidP="00E06BA9">
            <w:pPr>
              <w:jc w:val="both"/>
              <w:rPr>
                <w:rFonts w:asciiTheme="majorHAnsi" w:hAnsiTheme="majorHAnsi" w:cstheme="majorHAnsi"/>
                <w:bCs/>
                <w:highlight w:val="white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highlight w:val="white"/>
              </w:rPr>
              <w:t>Vizitatorii</w:t>
            </w:r>
            <w:proofErr w:type="spellEnd"/>
            <w:r>
              <w:rPr>
                <w:rFonts w:asciiTheme="majorHAnsi" w:hAnsiTheme="majorHAnsi" w:cstheme="majorHAnsi"/>
                <w:bCs/>
                <w:highlight w:val="white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Cs/>
                <w:highlight w:val="white"/>
              </w:rPr>
              <w:t>turiștii</w:t>
            </w:r>
            <w:proofErr w:type="spellEnd"/>
            <w:r>
              <w:rPr>
                <w:rFonts w:asciiTheme="majorHAnsi" w:hAnsiTheme="majorHAnsi" w:cstheme="majorHAnsi"/>
                <w:bCs/>
                <w:highlight w:val="white"/>
              </w:rPr>
              <w:t xml:space="preserve"> din </w:t>
            </w:r>
            <w:proofErr w:type="spellStart"/>
            <w:r>
              <w:rPr>
                <w:rFonts w:asciiTheme="majorHAnsi" w:hAnsiTheme="majorHAnsi" w:cstheme="majorHAnsi"/>
                <w:bCs/>
                <w:highlight w:val="white"/>
              </w:rPr>
              <w:t>oraș</w:t>
            </w:r>
            <w:proofErr w:type="spellEnd"/>
          </w:p>
        </w:tc>
      </w:tr>
      <w:tr w:rsidR="006012A0" w:rsidRPr="00FD7243" w14:paraId="333C0436" w14:textId="77777777" w:rsidTr="00E06BA9">
        <w:tc>
          <w:tcPr>
            <w:tcW w:w="2335" w:type="dxa"/>
          </w:tcPr>
          <w:p w14:paraId="14223A65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Parteneri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0026DF8E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r w:rsidRPr="00FD7243">
              <w:rPr>
                <w:rFonts w:asciiTheme="majorHAnsi" w:hAnsiTheme="majorHAnsi" w:cstheme="majorHAnsi"/>
                <w:b/>
                <w:highlight w:val="white"/>
              </w:rPr>
              <w:t>UAT Deta</w:t>
            </w:r>
          </w:p>
          <w:p w14:paraId="6E5AFA2A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</w:p>
        </w:tc>
      </w:tr>
      <w:tr w:rsidR="006012A0" w:rsidRPr="00FD7243" w14:paraId="5D83799D" w14:textId="77777777" w:rsidTr="00E06BA9">
        <w:tc>
          <w:tcPr>
            <w:tcW w:w="2335" w:type="dxa"/>
          </w:tcPr>
          <w:p w14:paraId="207A6383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Gradul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FD7243">
              <w:rPr>
                <w:rFonts w:asciiTheme="majorHAnsi" w:hAnsiTheme="majorHAnsi" w:cstheme="majorHAnsi"/>
              </w:rPr>
              <w:t>maturitate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12484E8B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r w:rsidRPr="00FD7243">
              <w:rPr>
                <w:rFonts w:asciiTheme="majorHAnsi" w:hAnsiTheme="majorHAnsi" w:cstheme="majorHAnsi"/>
              </w:rPr>
              <w:t xml:space="preserve">Idee de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proiect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</w:p>
          <w:p w14:paraId="7AF9D594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</w:p>
        </w:tc>
      </w:tr>
      <w:tr w:rsidR="006012A0" w:rsidRPr="00FD7243" w14:paraId="18705071" w14:textId="77777777" w:rsidTr="00E06BA9">
        <w:tc>
          <w:tcPr>
            <w:tcW w:w="2335" w:type="dxa"/>
          </w:tcPr>
          <w:p w14:paraId="17DD56C7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Buget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2156C27F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r>
              <w:rPr>
                <w:rFonts w:asciiTheme="majorHAnsi" w:hAnsiTheme="majorHAnsi" w:cstheme="majorHAnsi"/>
                <w:b/>
                <w:highlight w:val="white"/>
              </w:rPr>
              <w:t>21.500.000</w:t>
            </w:r>
            <w:r w:rsidRPr="00FD7243">
              <w:rPr>
                <w:rFonts w:asciiTheme="majorHAnsi" w:hAnsiTheme="majorHAnsi" w:cstheme="majorHAnsi"/>
                <w:b/>
                <w:highlight w:val="white"/>
              </w:rPr>
              <w:t xml:space="preserve"> lei </w:t>
            </w:r>
            <w:proofErr w:type="spellStart"/>
            <w:r w:rsidRPr="00FD7243">
              <w:rPr>
                <w:rFonts w:asciiTheme="majorHAnsi" w:hAnsiTheme="majorHAnsi" w:cstheme="majorHAnsi"/>
                <w:b/>
                <w:highlight w:val="white"/>
              </w:rPr>
              <w:t>fără</w:t>
            </w:r>
            <w:proofErr w:type="spellEnd"/>
            <w:r w:rsidRPr="00FD7243">
              <w:rPr>
                <w:rFonts w:asciiTheme="majorHAnsi" w:hAnsiTheme="majorHAnsi" w:cstheme="majorHAnsi"/>
                <w:b/>
                <w:highlight w:val="white"/>
              </w:rPr>
              <w:t xml:space="preserve"> TVA</w:t>
            </w:r>
          </w:p>
        </w:tc>
      </w:tr>
      <w:tr w:rsidR="006012A0" w:rsidRPr="00C63CBE" w14:paraId="23601842" w14:textId="77777777" w:rsidTr="00E06BA9">
        <w:tc>
          <w:tcPr>
            <w:tcW w:w="2335" w:type="dxa"/>
          </w:tcPr>
          <w:p w14:paraId="27CAAB69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Surse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FD7243">
              <w:rPr>
                <w:rFonts w:asciiTheme="majorHAnsi" w:hAnsiTheme="majorHAnsi" w:cstheme="majorHAnsi"/>
              </w:rPr>
              <w:t>finanțare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251EA301" w14:textId="77777777" w:rsidR="006012A0" w:rsidRPr="00B334F5" w:rsidRDefault="006012A0" w:rsidP="00E06BA9">
            <w:pPr>
              <w:jc w:val="both"/>
              <w:rPr>
                <w:rFonts w:asciiTheme="majorHAnsi" w:hAnsiTheme="majorHAnsi" w:cstheme="majorHAnsi"/>
                <w:b/>
                <w:bCs/>
                <w:highlight w:val="white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lang w:val="es-ES"/>
              </w:rPr>
              <w:t>PR VEST - TURISM, a</w:t>
            </w:r>
            <w:r w:rsidRPr="00B334F5">
              <w:rPr>
                <w:rFonts w:asciiTheme="majorHAnsi" w:hAnsiTheme="majorHAnsi" w:cstheme="majorHAnsi"/>
                <w:b/>
                <w:bCs/>
                <w:lang w:val="es-ES"/>
              </w:rPr>
              <w:t xml:space="preserve">lte </w:t>
            </w:r>
            <w:proofErr w:type="spellStart"/>
            <w:r w:rsidRPr="00B334F5">
              <w:rPr>
                <w:rFonts w:asciiTheme="majorHAnsi" w:hAnsiTheme="majorHAnsi" w:cstheme="majorHAnsi"/>
                <w:b/>
                <w:bCs/>
                <w:lang w:val="es-ES"/>
              </w:rPr>
              <w:t>surse</w:t>
            </w:r>
            <w:proofErr w:type="spellEnd"/>
            <w:r w:rsidRPr="00B334F5">
              <w:rPr>
                <w:rFonts w:asciiTheme="majorHAnsi" w:hAnsiTheme="majorHAnsi" w:cstheme="majorHAnsi"/>
                <w:b/>
                <w:bCs/>
                <w:lang w:val="es-ES"/>
              </w:rPr>
              <w:t xml:space="preserve"> de </w:t>
            </w:r>
            <w:proofErr w:type="spellStart"/>
            <w:r w:rsidRPr="00B334F5">
              <w:rPr>
                <w:rFonts w:asciiTheme="majorHAnsi" w:hAnsiTheme="majorHAnsi" w:cstheme="majorHAnsi"/>
                <w:b/>
                <w:bCs/>
                <w:lang w:val="es-ES"/>
              </w:rPr>
              <w:t>finanțare</w:t>
            </w:r>
            <w:proofErr w:type="spellEnd"/>
          </w:p>
        </w:tc>
      </w:tr>
      <w:tr w:rsidR="006012A0" w:rsidRPr="00C63CBE" w14:paraId="671BD8D4" w14:textId="77777777" w:rsidTr="00E06BA9">
        <w:tc>
          <w:tcPr>
            <w:tcW w:w="2335" w:type="dxa"/>
          </w:tcPr>
          <w:p w14:paraId="388F6CFA" w14:textId="77777777" w:rsidR="006012A0" w:rsidRDefault="006012A0" w:rsidP="00E06BA9">
            <w:pPr>
              <w:jc w:val="both"/>
              <w:rPr>
                <w:b/>
                <w:sz w:val="20"/>
                <w:szCs w:val="20"/>
                <w:highlight w:val="white"/>
              </w:rPr>
            </w:pPr>
            <w:proofErr w:type="spellStart"/>
            <w:r>
              <w:t>Obiectiv</w:t>
            </w:r>
            <w:proofErr w:type="spellEnd"/>
            <w:r>
              <w:t xml:space="preserve"> Strategic SIDU</w:t>
            </w:r>
          </w:p>
        </w:tc>
        <w:tc>
          <w:tcPr>
            <w:tcW w:w="7015" w:type="dxa"/>
          </w:tcPr>
          <w:p w14:paraId="715473DB" w14:textId="77777777" w:rsidR="006012A0" w:rsidRPr="002D2F3D" w:rsidRDefault="006012A0" w:rsidP="00E06BA9">
            <w:pPr>
              <w:jc w:val="both"/>
              <w:rPr>
                <w:b/>
                <w:bCs/>
                <w:lang w:val="es-ES"/>
              </w:rPr>
            </w:pPr>
            <w:r w:rsidRPr="002D2F3D">
              <w:rPr>
                <w:b/>
                <w:bCs/>
                <w:lang w:val="es-ES"/>
              </w:rPr>
              <w:t xml:space="preserve">OB1. </w:t>
            </w:r>
            <w:proofErr w:type="spellStart"/>
            <w:r w:rsidRPr="002D2F3D">
              <w:rPr>
                <w:b/>
                <w:bCs/>
                <w:lang w:val="es-ES"/>
              </w:rPr>
              <w:t>Oraș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lang w:val="es-ES"/>
              </w:rPr>
              <w:t>activ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, verde </w:t>
            </w:r>
            <w:proofErr w:type="spellStart"/>
            <w:r w:rsidRPr="002D2F3D">
              <w:rPr>
                <w:b/>
                <w:bCs/>
                <w:lang w:val="es-ES"/>
              </w:rPr>
              <w:t>și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lang w:val="es-ES"/>
              </w:rPr>
              <w:t>sustenabil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</w:p>
          <w:p w14:paraId="4FED8BDF" w14:textId="77777777" w:rsidR="006012A0" w:rsidRPr="002D2F3D" w:rsidRDefault="006012A0" w:rsidP="00E06BA9">
            <w:pPr>
              <w:jc w:val="both"/>
              <w:rPr>
                <w:b/>
                <w:bCs/>
                <w:lang w:val="es-ES"/>
              </w:rPr>
            </w:pPr>
          </w:p>
        </w:tc>
      </w:tr>
    </w:tbl>
    <w:p w14:paraId="75913C5C" w14:textId="77777777" w:rsidR="006012A0" w:rsidRPr="002D2F3D" w:rsidRDefault="006012A0" w:rsidP="006012A0">
      <w:pPr>
        <w:jc w:val="both"/>
        <w:rPr>
          <w:b/>
          <w:sz w:val="20"/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6012A0" w:rsidRPr="00C63CBE" w14:paraId="6D39B119" w14:textId="77777777" w:rsidTr="00E06BA9">
        <w:tc>
          <w:tcPr>
            <w:tcW w:w="9350" w:type="dxa"/>
            <w:gridSpan w:val="2"/>
            <w:shd w:val="clear" w:color="auto" w:fill="AEAAAA" w:themeFill="background2" w:themeFillShade="BF"/>
          </w:tcPr>
          <w:p w14:paraId="5FC58E95" w14:textId="77777777" w:rsidR="006012A0" w:rsidRPr="002D2F3D" w:rsidRDefault="006012A0" w:rsidP="00E06BA9">
            <w:pPr>
              <w:jc w:val="both"/>
              <w:rPr>
                <w:rFonts w:asciiTheme="majorHAnsi" w:hAnsiTheme="majorHAnsi" w:cstheme="majorHAnsi"/>
                <w:lang w:val="es-ES"/>
              </w:rPr>
            </w:pPr>
          </w:p>
          <w:p w14:paraId="38FBCFF5" w14:textId="77777777" w:rsidR="006012A0" w:rsidRPr="002D2F3D" w:rsidRDefault="006012A0" w:rsidP="00E06BA9">
            <w:pPr>
              <w:jc w:val="both"/>
              <w:rPr>
                <w:sz w:val="20"/>
                <w:szCs w:val="20"/>
                <w:lang w:val="es-ES"/>
              </w:rPr>
            </w:pPr>
            <w:r w:rsidRPr="002D2F3D">
              <w:rPr>
                <w:sz w:val="20"/>
                <w:szCs w:val="20"/>
                <w:lang w:val="es-ES"/>
              </w:rPr>
              <w:t xml:space="preserve">31. Realizare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bazin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înot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copii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incinta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Ștrandului</w:t>
            </w:r>
            <w:proofErr w:type="spellEnd"/>
            <w:r w:rsidRPr="002D2F3D">
              <w:rPr>
                <w:sz w:val="20"/>
                <w:szCs w:val="20"/>
                <w:lang w:val="es-ES"/>
              </w:rPr>
              <w:t xml:space="preserve"> Termal </w:t>
            </w:r>
            <w:proofErr w:type="spellStart"/>
            <w:r w:rsidRPr="002D2F3D">
              <w:rPr>
                <w:sz w:val="20"/>
                <w:szCs w:val="20"/>
                <w:lang w:val="es-ES"/>
              </w:rPr>
              <w:t>Deta</w:t>
            </w:r>
            <w:proofErr w:type="spellEnd"/>
          </w:p>
          <w:p w14:paraId="2F65BE13" w14:textId="77777777" w:rsidR="006012A0" w:rsidRPr="002D2F3D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  <w:lang w:val="es-ES"/>
              </w:rPr>
            </w:pPr>
          </w:p>
        </w:tc>
      </w:tr>
      <w:tr w:rsidR="006012A0" w:rsidRPr="00FD7243" w14:paraId="6CD452A0" w14:textId="77777777" w:rsidTr="00E06BA9">
        <w:tc>
          <w:tcPr>
            <w:tcW w:w="2335" w:type="dxa"/>
          </w:tcPr>
          <w:p w14:paraId="594BEFE3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Localizarea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proiectului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513EAF35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12A0">
              <w:rPr>
                <w:rFonts w:asciiTheme="majorHAnsi" w:hAnsiTheme="majorHAnsi" w:cstheme="majorHAnsi"/>
                <w:b/>
              </w:rPr>
              <w:t>UAT Deta</w:t>
            </w:r>
          </w:p>
        </w:tc>
      </w:tr>
      <w:tr w:rsidR="006012A0" w:rsidRPr="00C63CBE" w14:paraId="5D8F04BD" w14:textId="77777777" w:rsidTr="00E06BA9">
        <w:tc>
          <w:tcPr>
            <w:tcW w:w="2335" w:type="dxa"/>
          </w:tcPr>
          <w:p w14:paraId="2872C42E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Stadiul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actual:</w:t>
            </w:r>
          </w:p>
        </w:tc>
        <w:tc>
          <w:tcPr>
            <w:tcW w:w="7015" w:type="dxa"/>
          </w:tcPr>
          <w:p w14:paraId="55DCDC85" w14:textId="77777777" w:rsidR="006012A0" w:rsidRPr="006012A0" w:rsidRDefault="006012A0" w:rsidP="00E06BA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012A0">
              <w:rPr>
                <w:rFonts w:asciiTheme="majorHAnsi" w:hAnsiTheme="majorHAnsi" w:cstheme="majorHAnsi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prezent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UAT Deta nu </w:t>
            </w:r>
            <w:proofErr w:type="spellStart"/>
            <w:r w:rsidRPr="006012A0">
              <w:rPr>
                <w:rFonts w:asciiTheme="majorHAnsi" w:hAnsiTheme="majorHAnsi" w:cstheme="majorHAnsi"/>
              </w:rPr>
              <w:t>există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niciun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bazin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înot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destinat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exclusive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copiilor</w:t>
            </w:r>
            <w:proofErr w:type="spellEnd"/>
            <w:r w:rsidRPr="006012A0">
              <w:rPr>
                <w:rFonts w:asciiTheme="majorHAnsi" w:hAnsiTheme="majorHAnsi" w:cstheme="majorHAnsi"/>
              </w:rPr>
              <w:t>.</w:t>
            </w:r>
          </w:p>
          <w:p w14:paraId="1504C2EB" w14:textId="77777777" w:rsidR="006012A0" w:rsidRPr="006012A0" w:rsidRDefault="006012A0" w:rsidP="00E06BA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6012A0">
              <w:rPr>
                <w:rFonts w:asciiTheme="majorHAnsi" w:hAnsiTheme="majorHAnsi" w:cstheme="majorHAnsi"/>
              </w:rPr>
              <w:t>Realizarea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unui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centru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agrement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care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să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ofere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posibilitatea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de a </w:t>
            </w:r>
            <w:proofErr w:type="spellStart"/>
            <w:r w:rsidRPr="006012A0">
              <w:rPr>
                <w:rFonts w:asciiTheme="majorHAnsi" w:hAnsiTheme="majorHAnsi" w:cstheme="majorHAnsi"/>
              </w:rPr>
              <w:t>desfășura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activități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recreative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cadrul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unui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bazin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înot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copii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incinta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Ștrandului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Termal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Deta </w:t>
            </w:r>
            <w:proofErr w:type="spellStart"/>
            <w:r w:rsidRPr="006012A0">
              <w:rPr>
                <w:rFonts w:asciiTheme="majorHAnsi" w:hAnsiTheme="majorHAnsi" w:cstheme="majorHAnsi"/>
              </w:rPr>
              <w:t>este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necesar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6012A0">
              <w:rPr>
                <w:rFonts w:asciiTheme="majorHAnsi" w:hAnsiTheme="majorHAnsi" w:cstheme="majorHAnsi"/>
              </w:rPr>
              <w:t>a</w:t>
            </w:r>
            <w:proofErr w:type="gram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oferi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oportunități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</w:rPr>
              <w:t>învățare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6012A0">
              <w:rPr>
                <w:rFonts w:asciiTheme="majorHAnsi" w:hAnsiTheme="majorHAnsi" w:cstheme="majorHAnsi"/>
              </w:rPr>
              <w:lastRenderedPageBreak/>
              <w:t>înotului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copiii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din </w:t>
            </w:r>
            <w:proofErr w:type="spellStart"/>
            <w:r w:rsidRPr="006012A0">
              <w:rPr>
                <w:rFonts w:asciiTheme="majorHAnsi" w:hAnsiTheme="majorHAnsi" w:cstheme="majorHAnsi"/>
              </w:rPr>
              <w:t>comunitate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Înotul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este o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activitate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importantă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dezvoltarea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fizică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mentală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copiilor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poate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ajuta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îmbunătățirea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abilităților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viață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creșterea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încrederii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sine. 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asemenea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înotul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poate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fi o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activitate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distractivă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plăcută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copii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poate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contribui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îmbunătățirea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calității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vieții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membrii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comunității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locale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.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Realizarea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unui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centru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agrement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copii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incinta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Ștrandului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Termal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Deta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poate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oferi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oportunități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învățare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înotului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într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-un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mediu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sigur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controlat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totodată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va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oferi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oportunități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de 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încuraja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activitățile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culturale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recreative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copiii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>.</w:t>
            </w:r>
          </w:p>
          <w:p w14:paraId="72B67AB9" w14:textId="77777777" w:rsidR="006012A0" w:rsidRPr="006012A0" w:rsidRDefault="006012A0" w:rsidP="00E06BA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s-ES"/>
              </w:rPr>
            </w:pPr>
            <w:r w:rsidRPr="006012A0">
              <w:rPr>
                <w:rFonts w:asciiTheme="majorHAnsi" w:hAnsiTheme="majorHAnsi" w:cstheme="majorHAnsi"/>
                <w:lang w:val="es-ES"/>
              </w:rPr>
              <w:t xml:space="preserve">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asemenea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spațiul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exterior din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incinta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centrului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agrement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va fi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amenajat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un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spațiu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scenă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exterioară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mobilă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)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unde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se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vor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desfășura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diferite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culturale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pe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parcursul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anului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.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Printre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aceste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amintim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următoarele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ateliere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creative,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teatru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povești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educative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interactive,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colaborare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Centrul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cultural al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orașului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Deta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unei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instituții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educație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al </w:t>
            </w:r>
            <w:proofErr w:type="spellStart"/>
            <w:r w:rsidRPr="006012A0">
              <w:rPr>
                <w:rFonts w:asciiTheme="majorHAnsi" w:hAnsiTheme="majorHAnsi" w:cstheme="majorHAnsi"/>
                <w:lang w:val="es-ES"/>
              </w:rPr>
              <w:t>unui</w:t>
            </w:r>
            <w:proofErr w:type="spellEnd"/>
            <w:r w:rsidRPr="006012A0">
              <w:rPr>
                <w:rFonts w:asciiTheme="majorHAnsi" w:hAnsiTheme="majorHAnsi" w:cstheme="majorHAnsi"/>
                <w:lang w:val="es-ES"/>
              </w:rPr>
              <w:t xml:space="preserve"> ONG.</w:t>
            </w:r>
          </w:p>
        </w:tc>
      </w:tr>
      <w:tr w:rsidR="006012A0" w:rsidRPr="00C63CBE" w14:paraId="42F5FF4D" w14:textId="77777777" w:rsidTr="00E06BA9">
        <w:tc>
          <w:tcPr>
            <w:tcW w:w="2335" w:type="dxa"/>
          </w:tcPr>
          <w:p w14:paraId="52B5B87A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lastRenderedPageBreak/>
              <w:t>Descrierea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proiectului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2072F6CA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Cs/>
              </w:rPr>
            </w:pP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Proiectarea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bazinului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: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Acest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lucru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include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luarea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considerare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a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mărimii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formei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bazinului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, a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profunzimii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acestuia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gramStart"/>
            <w:r w:rsidRPr="006012A0">
              <w:rPr>
                <w:rFonts w:asciiTheme="majorHAnsi" w:hAnsiTheme="majorHAnsi" w:cstheme="majorHAnsi"/>
                <w:bCs/>
              </w:rPr>
              <w:t>a</w:t>
            </w:r>
            <w:proofErr w:type="gram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altor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aspecte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care pot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afecta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siguranța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confortul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copiilor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care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învață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să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înoate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>.</w:t>
            </w:r>
          </w:p>
          <w:p w14:paraId="75726E62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6012A0">
              <w:rPr>
                <w:rFonts w:asciiTheme="majorHAnsi" w:hAnsiTheme="majorHAnsi" w:cstheme="majorHAnsi"/>
                <w:bCs/>
              </w:rPr>
              <w:t xml:space="preserve">De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asemenea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, se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va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proiecta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spațiul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expozițional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activitățile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culturale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propuse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a se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desfășura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în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incinta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centrului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agrement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>.</w:t>
            </w:r>
          </w:p>
          <w:p w14:paraId="42019EFC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533D0D47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Cs/>
                <w:lang w:val="es-ES"/>
              </w:rPr>
            </w:pP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Obținerea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aprobărilor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a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permiselor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necesare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: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Înainte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de a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începe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construcția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bazinului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, este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necesar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să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se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obțină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aprobările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permisele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necesare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de la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autoritățile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locale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,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județene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,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naționale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>.</w:t>
            </w:r>
          </w:p>
          <w:p w14:paraId="68332D90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Cs/>
                <w:lang w:val="es-ES"/>
              </w:rPr>
            </w:pPr>
          </w:p>
          <w:p w14:paraId="0E67E62D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Construcția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bazinului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: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După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obținerea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aprobărilor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permiselor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necesare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, se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poate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începe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construcția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bazinului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înot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pentru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copii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.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Acest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lucru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poate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include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prepararea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terenului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,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instalarea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sistemelor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de filtrare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și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 xml:space="preserve"> de </w:t>
            </w:r>
            <w:proofErr w:type="spellStart"/>
            <w:r w:rsidRPr="006012A0">
              <w:rPr>
                <w:rFonts w:asciiTheme="majorHAnsi" w:hAnsiTheme="majorHAnsi" w:cstheme="majorHAnsi"/>
                <w:bCs/>
                <w:lang w:val="es-ES"/>
              </w:rPr>
              <w:t>încălzire</w:t>
            </w:r>
            <w:proofErr w:type="spellEnd"/>
            <w:r w:rsidRPr="006012A0">
              <w:rPr>
                <w:rFonts w:asciiTheme="majorHAnsi" w:hAnsiTheme="majorHAnsi" w:cstheme="majorHAnsi"/>
                <w:bCs/>
                <w:lang w:val="es-ES"/>
              </w:rPr>
              <w:t>.</w:t>
            </w:r>
          </w:p>
        </w:tc>
      </w:tr>
      <w:tr w:rsidR="006012A0" w:rsidRPr="00FD7243" w14:paraId="4297EB1F" w14:textId="77777777" w:rsidTr="00E06BA9">
        <w:tc>
          <w:tcPr>
            <w:tcW w:w="2335" w:type="dxa"/>
          </w:tcPr>
          <w:p w14:paraId="724FF43A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Grup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țintă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FD7243">
              <w:rPr>
                <w:rFonts w:asciiTheme="majorHAnsi" w:hAnsiTheme="majorHAnsi" w:cstheme="majorHAnsi"/>
              </w:rPr>
              <w:t>Beneficiari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D7243">
              <w:rPr>
                <w:rFonts w:asciiTheme="majorHAnsi" w:hAnsiTheme="majorHAnsi" w:cstheme="majorHAnsi"/>
              </w:rPr>
              <w:t>potențiali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00594B50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012A0">
              <w:rPr>
                <w:rFonts w:asciiTheme="majorHAnsi" w:hAnsiTheme="majorHAnsi" w:cstheme="majorHAnsi"/>
              </w:rPr>
              <w:t>Locuitorii</w:t>
            </w:r>
            <w:proofErr w:type="spellEnd"/>
            <w:r w:rsidRPr="006012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012A0">
              <w:rPr>
                <w:rFonts w:asciiTheme="majorHAnsi" w:hAnsiTheme="majorHAnsi" w:cstheme="majorHAnsi"/>
              </w:rPr>
              <w:t>orașului</w:t>
            </w:r>
            <w:proofErr w:type="spellEnd"/>
          </w:p>
          <w:p w14:paraId="7CAAE173" w14:textId="77777777" w:rsidR="006012A0" w:rsidRPr="006012A0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Vizitatorii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>/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turiștii</w:t>
            </w:r>
            <w:proofErr w:type="spellEnd"/>
            <w:r w:rsidRPr="006012A0">
              <w:rPr>
                <w:rFonts w:asciiTheme="majorHAnsi" w:hAnsiTheme="majorHAnsi" w:cstheme="majorHAnsi"/>
                <w:bCs/>
              </w:rPr>
              <w:t xml:space="preserve"> din </w:t>
            </w:r>
            <w:proofErr w:type="spellStart"/>
            <w:r w:rsidRPr="006012A0">
              <w:rPr>
                <w:rFonts w:asciiTheme="majorHAnsi" w:hAnsiTheme="majorHAnsi" w:cstheme="majorHAnsi"/>
                <w:bCs/>
              </w:rPr>
              <w:t>oraș</w:t>
            </w:r>
            <w:proofErr w:type="spellEnd"/>
          </w:p>
        </w:tc>
      </w:tr>
      <w:tr w:rsidR="006012A0" w:rsidRPr="00FD7243" w14:paraId="77741448" w14:textId="77777777" w:rsidTr="00E06BA9">
        <w:tc>
          <w:tcPr>
            <w:tcW w:w="2335" w:type="dxa"/>
          </w:tcPr>
          <w:p w14:paraId="5923CD2A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Parteneri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4D82BA58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B33A600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</w:p>
        </w:tc>
      </w:tr>
      <w:tr w:rsidR="006012A0" w:rsidRPr="00751A9E" w14:paraId="1CDB2CCF" w14:textId="77777777" w:rsidTr="00E06BA9">
        <w:tc>
          <w:tcPr>
            <w:tcW w:w="2335" w:type="dxa"/>
          </w:tcPr>
          <w:p w14:paraId="3B3AF688" w14:textId="77777777" w:rsidR="006012A0" w:rsidRPr="00511A7A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511A7A">
              <w:rPr>
                <w:rFonts w:asciiTheme="majorHAnsi" w:hAnsiTheme="majorHAnsi" w:cstheme="majorHAnsi"/>
              </w:rPr>
              <w:t>Gradul</w:t>
            </w:r>
            <w:proofErr w:type="spellEnd"/>
            <w:r w:rsidRPr="00511A7A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511A7A">
              <w:rPr>
                <w:rFonts w:asciiTheme="majorHAnsi" w:hAnsiTheme="majorHAnsi" w:cstheme="majorHAnsi"/>
              </w:rPr>
              <w:t>maturitate</w:t>
            </w:r>
            <w:proofErr w:type="spellEnd"/>
            <w:r w:rsidRPr="00511A7A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60109A4B" w14:textId="77777777" w:rsidR="006012A0" w:rsidRPr="00511A7A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11A7A">
              <w:rPr>
                <w:rFonts w:asciiTheme="majorHAnsi" w:hAnsiTheme="majorHAnsi" w:cstheme="majorHAnsi"/>
              </w:rPr>
              <w:t xml:space="preserve">Idee de </w:t>
            </w:r>
            <w:proofErr w:type="spellStart"/>
            <w:r w:rsidRPr="00511A7A">
              <w:rPr>
                <w:rFonts w:asciiTheme="majorHAnsi" w:hAnsiTheme="majorHAnsi" w:cstheme="majorHAnsi"/>
              </w:rPr>
              <w:t>proiect</w:t>
            </w:r>
            <w:proofErr w:type="spellEnd"/>
            <w:r w:rsidRPr="00511A7A">
              <w:rPr>
                <w:rFonts w:asciiTheme="majorHAnsi" w:hAnsiTheme="majorHAnsi" w:cstheme="majorHAnsi"/>
              </w:rPr>
              <w:t xml:space="preserve"> </w:t>
            </w:r>
          </w:p>
          <w:p w14:paraId="77FC15BF" w14:textId="77777777" w:rsidR="006012A0" w:rsidRPr="00511A7A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6012A0" w:rsidRPr="00751A9E" w14:paraId="08F42AEA" w14:textId="77777777" w:rsidTr="00E06BA9">
        <w:tc>
          <w:tcPr>
            <w:tcW w:w="2335" w:type="dxa"/>
          </w:tcPr>
          <w:p w14:paraId="1F52D4BF" w14:textId="77777777" w:rsidR="006012A0" w:rsidRPr="00511A7A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511A7A">
              <w:rPr>
                <w:rFonts w:asciiTheme="majorHAnsi" w:hAnsiTheme="majorHAnsi" w:cstheme="majorHAnsi"/>
              </w:rPr>
              <w:t>Buget</w:t>
            </w:r>
            <w:proofErr w:type="spellEnd"/>
            <w:r w:rsidRPr="00511A7A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47B86B2B" w14:textId="77777777" w:rsidR="006012A0" w:rsidRPr="00511A7A" w:rsidRDefault="006012A0" w:rsidP="00E06BA9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18.000.000</w:t>
            </w:r>
            <w:r w:rsidRPr="00511A7A">
              <w:rPr>
                <w:rFonts w:asciiTheme="majorHAnsi" w:hAnsiTheme="majorHAnsi" w:cstheme="majorHAnsi"/>
                <w:b/>
              </w:rPr>
              <w:t xml:space="preserve"> lei </w:t>
            </w:r>
            <w:proofErr w:type="spellStart"/>
            <w:r w:rsidRPr="00511A7A">
              <w:rPr>
                <w:rFonts w:asciiTheme="majorHAnsi" w:hAnsiTheme="majorHAnsi" w:cstheme="majorHAnsi"/>
                <w:b/>
              </w:rPr>
              <w:t>fără</w:t>
            </w:r>
            <w:proofErr w:type="spellEnd"/>
            <w:r w:rsidRPr="00511A7A">
              <w:rPr>
                <w:rFonts w:asciiTheme="majorHAnsi" w:hAnsiTheme="majorHAnsi" w:cstheme="majorHAnsi"/>
                <w:b/>
              </w:rPr>
              <w:t xml:space="preserve"> TVA</w:t>
            </w:r>
          </w:p>
        </w:tc>
      </w:tr>
      <w:tr w:rsidR="006012A0" w:rsidRPr="00FD7243" w14:paraId="5F2A211F" w14:textId="77777777" w:rsidTr="00E06BA9">
        <w:tc>
          <w:tcPr>
            <w:tcW w:w="2335" w:type="dxa"/>
          </w:tcPr>
          <w:p w14:paraId="1A1F01C4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proofErr w:type="spellStart"/>
            <w:r w:rsidRPr="00FD7243">
              <w:rPr>
                <w:rFonts w:asciiTheme="majorHAnsi" w:hAnsiTheme="majorHAnsi" w:cstheme="majorHAnsi"/>
              </w:rPr>
              <w:t>Surse</w:t>
            </w:r>
            <w:proofErr w:type="spellEnd"/>
            <w:r w:rsidRPr="00FD7243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FD7243">
              <w:rPr>
                <w:rFonts w:asciiTheme="majorHAnsi" w:hAnsiTheme="majorHAnsi" w:cstheme="majorHAnsi"/>
              </w:rPr>
              <w:t>finanțare</w:t>
            </w:r>
            <w:proofErr w:type="spellEnd"/>
            <w:r w:rsidRPr="00FD724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015" w:type="dxa"/>
          </w:tcPr>
          <w:p w14:paraId="32937CDE" w14:textId="77777777" w:rsidR="006012A0" w:rsidRPr="00FD7243" w:rsidRDefault="006012A0" w:rsidP="00E06BA9">
            <w:pPr>
              <w:jc w:val="both"/>
              <w:rPr>
                <w:rFonts w:asciiTheme="majorHAnsi" w:hAnsiTheme="majorHAnsi" w:cstheme="majorHAnsi"/>
                <w:b/>
                <w:highlight w:val="white"/>
              </w:rPr>
            </w:pPr>
            <w:r>
              <w:rPr>
                <w:rFonts w:asciiTheme="majorHAnsi" w:hAnsiTheme="majorHAnsi" w:cstheme="majorHAnsi"/>
                <w:b/>
                <w:highlight w:val="white"/>
              </w:rPr>
              <w:t xml:space="preserve">PR VEST- TURISM, CNI, </w:t>
            </w:r>
            <w:proofErr w:type="spellStart"/>
            <w:r>
              <w:rPr>
                <w:rFonts w:asciiTheme="majorHAnsi" w:hAnsiTheme="majorHAnsi" w:cstheme="majorHAnsi"/>
                <w:b/>
                <w:highlight w:val="white"/>
              </w:rPr>
              <w:t>alte</w:t>
            </w:r>
            <w:proofErr w:type="spellEnd"/>
            <w:r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highlight w:val="white"/>
              </w:rPr>
              <w:t>surse</w:t>
            </w:r>
            <w:proofErr w:type="spellEnd"/>
          </w:p>
        </w:tc>
      </w:tr>
      <w:tr w:rsidR="006012A0" w:rsidRPr="004902AC" w14:paraId="3D8C5509" w14:textId="77777777" w:rsidTr="00E06BA9">
        <w:tc>
          <w:tcPr>
            <w:tcW w:w="2335" w:type="dxa"/>
          </w:tcPr>
          <w:p w14:paraId="6E457F3F" w14:textId="77777777" w:rsidR="006012A0" w:rsidRDefault="006012A0" w:rsidP="00E06BA9">
            <w:pPr>
              <w:jc w:val="both"/>
              <w:rPr>
                <w:b/>
                <w:sz w:val="20"/>
                <w:szCs w:val="20"/>
                <w:highlight w:val="white"/>
              </w:rPr>
            </w:pPr>
            <w:proofErr w:type="spellStart"/>
            <w:r>
              <w:t>Obiectiv</w:t>
            </w:r>
            <w:proofErr w:type="spellEnd"/>
            <w:r>
              <w:t xml:space="preserve"> Strategic SIDU</w:t>
            </w:r>
          </w:p>
        </w:tc>
        <w:tc>
          <w:tcPr>
            <w:tcW w:w="7015" w:type="dxa"/>
          </w:tcPr>
          <w:p w14:paraId="7B2F7DAF" w14:textId="77777777" w:rsidR="006012A0" w:rsidRPr="002D2F3D" w:rsidRDefault="006012A0" w:rsidP="00E06BA9">
            <w:pPr>
              <w:jc w:val="both"/>
              <w:rPr>
                <w:b/>
                <w:bCs/>
                <w:lang w:val="es-ES"/>
              </w:rPr>
            </w:pPr>
            <w:r w:rsidRPr="002D2F3D">
              <w:rPr>
                <w:b/>
                <w:bCs/>
                <w:lang w:val="es-ES"/>
              </w:rPr>
              <w:t xml:space="preserve">OB2. </w:t>
            </w:r>
            <w:proofErr w:type="spellStart"/>
            <w:r w:rsidRPr="002D2F3D">
              <w:rPr>
                <w:b/>
                <w:bCs/>
                <w:lang w:val="es-ES"/>
              </w:rPr>
              <w:t>Infrastructură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lang w:val="es-ES"/>
              </w:rPr>
              <w:t>durabilă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lang w:val="es-ES"/>
              </w:rPr>
              <w:t>și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lang w:val="es-ES"/>
              </w:rPr>
              <w:t>sustenabilă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, </w:t>
            </w:r>
            <w:proofErr w:type="spellStart"/>
            <w:r w:rsidRPr="002D2F3D">
              <w:rPr>
                <w:b/>
                <w:bCs/>
                <w:lang w:val="es-ES"/>
              </w:rPr>
              <w:t>servicii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lang w:val="es-ES"/>
              </w:rPr>
              <w:t>publice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de </w:t>
            </w:r>
            <w:proofErr w:type="spellStart"/>
            <w:r w:rsidRPr="002D2F3D">
              <w:rPr>
                <w:b/>
                <w:bCs/>
                <w:lang w:val="es-ES"/>
              </w:rPr>
              <w:t>calitate</w:t>
            </w:r>
            <w:proofErr w:type="spellEnd"/>
            <w:r w:rsidRPr="002D2F3D">
              <w:rPr>
                <w:b/>
                <w:bCs/>
                <w:lang w:val="es-ES"/>
              </w:rPr>
              <w:t xml:space="preserve"> </w:t>
            </w:r>
          </w:p>
          <w:p w14:paraId="67F58EB2" w14:textId="77777777" w:rsidR="006012A0" w:rsidRPr="002D2F3D" w:rsidRDefault="006012A0" w:rsidP="00E06BA9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val="es-ES"/>
              </w:rPr>
            </w:pP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Program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: 2.3.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Infrastructura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servicii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vizează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domeniile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administrație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publică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învăţământ-educaţie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sănătate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asistenţă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socială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securitatea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și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sănătatea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populaţiei</w:t>
            </w:r>
            <w:proofErr w:type="spellEnd"/>
            <w:r w:rsidRPr="002D2F3D">
              <w:rPr>
                <w:b/>
                <w:bCs/>
                <w:i/>
                <w:iCs/>
                <w:sz w:val="20"/>
                <w:szCs w:val="20"/>
                <w:lang w:val="es-ES"/>
              </w:rPr>
              <w:t>)</w:t>
            </w:r>
          </w:p>
          <w:p w14:paraId="527020B3" w14:textId="77777777" w:rsidR="006012A0" w:rsidRPr="001D3EFD" w:rsidRDefault="006012A0" w:rsidP="00E06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M2.3.30. </w:t>
            </w:r>
            <w:proofErr w:type="spellStart"/>
            <w:r>
              <w:rPr>
                <w:sz w:val="20"/>
                <w:szCs w:val="20"/>
              </w:rPr>
              <w:t>Construire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bazine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înot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A34B4B" w14:textId="77777777" w:rsidR="006012A0" w:rsidRPr="004902AC" w:rsidRDefault="006012A0" w:rsidP="00E06BA9">
            <w:pPr>
              <w:jc w:val="both"/>
              <w:rPr>
                <w:b/>
                <w:bCs/>
              </w:rPr>
            </w:pPr>
          </w:p>
        </w:tc>
      </w:tr>
    </w:tbl>
    <w:p w14:paraId="53466698" w14:textId="77777777" w:rsidR="006012A0" w:rsidRDefault="006012A0"/>
    <w:sectPr w:rsidR="006012A0" w:rsidSect="006012A0">
      <w:pgSz w:w="12240" w:h="15840"/>
      <w:pgMar w:top="709" w:right="111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41A5" w14:textId="77777777" w:rsidR="00930D4A" w:rsidRDefault="00930D4A" w:rsidP="006012A0">
      <w:pPr>
        <w:spacing w:after="0" w:line="240" w:lineRule="auto"/>
      </w:pPr>
      <w:r>
        <w:separator/>
      </w:r>
    </w:p>
  </w:endnote>
  <w:endnote w:type="continuationSeparator" w:id="0">
    <w:p w14:paraId="7A8D344E" w14:textId="77777777" w:rsidR="00930D4A" w:rsidRDefault="00930D4A" w:rsidP="0060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481C" w14:textId="77777777" w:rsidR="00930D4A" w:rsidRDefault="00930D4A" w:rsidP="006012A0">
      <w:pPr>
        <w:spacing w:after="0" w:line="240" w:lineRule="auto"/>
      </w:pPr>
      <w:r>
        <w:separator/>
      </w:r>
    </w:p>
  </w:footnote>
  <w:footnote w:type="continuationSeparator" w:id="0">
    <w:p w14:paraId="0BC03408" w14:textId="77777777" w:rsidR="00930D4A" w:rsidRDefault="00930D4A" w:rsidP="0060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C7F29"/>
    <w:multiLevelType w:val="hybridMultilevel"/>
    <w:tmpl w:val="4514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A0"/>
    <w:rsid w:val="006012A0"/>
    <w:rsid w:val="0093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2D1C2"/>
  <w15:chartTrackingRefBased/>
  <w15:docId w15:val="{7482798C-85D1-4B9B-8AD1-AD4208A7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12A0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012A0"/>
    <w:pPr>
      <w:ind w:left="720"/>
      <w:contextualSpacing/>
    </w:pPr>
  </w:style>
  <w:style w:type="table" w:styleId="TableGrid">
    <w:name w:val="Table Grid"/>
    <w:basedOn w:val="TableNormal"/>
    <w:uiPriority w:val="39"/>
    <w:rsid w:val="006012A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2025-03-04T13:38:00Z</dcterms:created>
  <dcterms:modified xsi:type="dcterms:W3CDTF">2025-03-04T13:47:00Z</dcterms:modified>
</cp:coreProperties>
</file>