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after="0"/>
        <w:ind w:left="432" w:hanging="432"/>
        <w:jc w:val="center"/>
        <w:rPr>
          <w:rFonts w:ascii="Times New Roman" w:hAnsi="Times New Roman" w:cs="Times New Roman"/>
        </w:rPr>
      </w:pPr>
      <w:bookmarkStart w:id="1" w:name="_GoBack"/>
      <w:bookmarkEnd w:id="1"/>
      <w:r>
        <w:rPr>
          <w:rFonts w:ascii="Times New Roman" w:hAnsi="Times New Roman" w:cs="Times New Roman"/>
          <w:b/>
          <w:bCs/>
        </w:rPr>
        <w:t>Anexa nr. 1 la HCL nr. ...../ ..............</w:t>
      </w:r>
      <w:r>
        <w:rPr>
          <w:rFonts w:ascii="Times New Roman" w:hAnsi="Times New Roman" w:cs="Times New Roman"/>
        </w:rPr>
        <w:t>..</w:t>
      </w:r>
    </w:p>
    <w:p>
      <w:pPr>
        <w:numPr>
          <w:ilvl w:val="0"/>
          <w:numId w:val="1"/>
        </w:numPr>
        <w:spacing w:after="0"/>
        <w:jc w:val="center"/>
        <w:rPr>
          <w:rFonts w:ascii="Times New Roman" w:hAnsi="Times New Roman" w:eastAsia="Times New Roman" w:cs="Times New Roman"/>
          <w:lang w:eastAsia="ro-RO"/>
        </w:rPr>
      </w:pPr>
    </w:p>
    <w:p>
      <w:pPr>
        <w:numPr>
          <w:ilvl w:val="0"/>
          <w:numId w:val="1"/>
        </w:numPr>
        <w:spacing w:after="0"/>
        <w:jc w:val="center"/>
        <w:rPr>
          <w:rFonts w:ascii="Times New Roman" w:hAnsi="Times New Roman" w:eastAsia="Times New Roman" w:cs="Times New Roman"/>
          <w:lang w:eastAsia="ro-RO"/>
        </w:rPr>
      </w:pPr>
      <w:bookmarkStart w:id="0" w:name="_Hlk103244747"/>
      <w:r>
        <w:rPr>
          <w:rFonts w:ascii="Times New Roman" w:hAnsi="Times New Roman" w:eastAsia="Times New Roman" w:cs="Times New Roman"/>
          <w:lang w:eastAsia="ro-RO"/>
        </w:rPr>
        <w:t>Privind implementarea proiectului intitulat</w:t>
      </w:r>
    </w:p>
    <w:p>
      <w:pPr>
        <w:tabs>
          <w:tab w:val="left" w:pos="1134"/>
        </w:tabs>
        <w:spacing w:after="0" w:line="240" w:lineRule="auto"/>
        <w:ind w:firstLine="851"/>
        <w:jc w:val="center"/>
        <w:rPr>
          <w:rFonts w:ascii="Times New Roman" w:hAnsi="Times New Roman" w:cs="Times New Roman"/>
          <w:b/>
          <w:bCs/>
          <w:lang w:val="pt-BR"/>
        </w:rPr>
      </w:pPr>
      <w:r>
        <w:rPr>
          <w:rFonts w:ascii="Times New Roman" w:hAnsi="Times New Roman" w:cs="Times New Roman"/>
          <w:b/>
          <w:bCs/>
          <w:lang w:val="pt-BR"/>
        </w:rPr>
        <w:t>„Înființare centru de colectare deșeuri, în Comuna Ciumeghiu, județul Bihor”</w:t>
      </w:r>
    </w:p>
    <w:p>
      <w:pPr>
        <w:spacing w:after="0"/>
        <w:jc w:val="both"/>
        <w:rPr>
          <w:rFonts w:ascii="Times New Roman" w:hAnsi="Times New Roman" w:cs="Times New Roman"/>
          <w:b/>
          <w:bCs/>
          <w:u w:val="single"/>
        </w:rPr>
      </w:pPr>
    </w:p>
    <w:bookmarkEnd w:id="0"/>
    <w:p>
      <w:pPr>
        <w:spacing w:after="0"/>
        <w:jc w:val="both"/>
        <w:rPr>
          <w:rFonts w:ascii="Times New Roman" w:hAnsi="Times New Roman" w:cs="Times New Roman"/>
          <w:b/>
          <w:bCs/>
          <w:u w:val="single"/>
        </w:rPr>
      </w:pPr>
    </w:p>
    <w:p>
      <w:pPr>
        <w:pStyle w:val="5"/>
        <w:numPr>
          <w:ilvl w:val="0"/>
          <w:numId w:val="2"/>
        </w:numPr>
        <w:jc w:val="both"/>
        <w:rPr>
          <w:rFonts w:ascii="Times New Roman" w:hAnsi="Times New Roman" w:cs="Times New Roman"/>
          <w:b/>
          <w:bCs/>
        </w:rPr>
      </w:pPr>
      <w:r>
        <w:rPr>
          <w:rFonts w:ascii="Times New Roman" w:hAnsi="Times New Roman" w:cs="Times New Roman"/>
          <w:b/>
          <w:bCs/>
        </w:rPr>
        <w:t>Necesitatea, oportunitatea și potențialul economic al investiției</w:t>
      </w:r>
    </w:p>
    <w:p>
      <w:pPr>
        <w:pStyle w:val="7"/>
        <w:ind w:firstLine="720"/>
        <w:jc w:val="both"/>
        <w:rPr>
          <w:rFonts w:ascii="Times New Roman" w:hAnsi="Times New Roman" w:eastAsia="Times New Roman" w:cs="Times New Roman"/>
        </w:rPr>
      </w:pPr>
      <w:r>
        <w:rPr>
          <w:rFonts w:ascii="Times New Roman" w:hAnsi="Times New Roman" w:eastAsia="Times New Roman" w:cs="Times New Roman"/>
        </w:rPr>
        <w:t>Complexitatea mare a problemelor din domeniul gestiunii deșeurilor, presupune implicarea și colaborarea locală pentru rezolvarea acestora și obținerea de facilități economice în rezolvarea lor.</w:t>
      </w:r>
    </w:p>
    <w:p>
      <w:pPr>
        <w:pStyle w:val="7"/>
        <w:jc w:val="both"/>
        <w:rPr>
          <w:rFonts w:ascii="Times New Roman" w:hAnsi="Times New Roman" w:eastAsia="Times New Roman" w:cs="Times New Roman"/>
        </w:rPr>
      </w:pPr>
    </w:p>
    <w:p>
      <w:pPr>
        <w:pStyle w:val="7"/>
        <w:ind w:firstLine="720"/>
        <w:jc w:val="both"/>
        <w:rPr>
          <w:rFonts w:ascii="Times New Roman" w:hAnsi="Times New Roman" w:eastAsia="Times New Roman" w:cs="Times New Roman"/>
        </w:rPr>
      </w:pPr>
      <w:r>
        <w:rPr>
          <w:rFonts w:ascii="Times New Roman" w:hAnsi="Times New Roman" w:eastAsia="Times New Roman" w:cs="Times New Roman"/>
        </w:rPr>
        <w:t>Necesitatea investiției vine din nevoia accelerarii procesului de extindere și modernizare a sistemelor de gestionare a deșeurilor în România, cu accent pe colectarea separată, măsuri de prevenție, reducere, reutilizare și valorificare în vederea conformării cu directivele aplicabile și tranziției la economie circulară.</w:t>
      </w:r>
    </w:p>
    <w:p>
      <w:pPr>
        <w:pStyle w:val="7"/>
        <w:jc w:val="both"/>
        <w:rPr>
          <w:rFonts w:ascii="Times New Roman" w:hAnsi="Times New Roman" w:eastAsia="Times New Roman" w:cs="Times New Roman"/>
        </w:rPr>
      </w:pPr>
    </w:p>
    <w:p>
      <w:pPr>
        <w:shd w:val="clear" w:color="auto" w:fill="FFFFFF"/>
        <w:ind w:firstLine="720"/>
        <w:contextualSpacing/>
        <w:jc w:val="both"/>
        <w:rPr>
          <w:rFonts w:ascii="Times New Roman" w:hAnsi="Times New Roman"/>
        </w:rPr>
      </w:pPr>
      <w:r>
        <w:rPr>
          <w:rFonts w:ascii="Times New Roman" w:hAnsi="Times New Roman"/>
        </w:rPr>
        <w:t>In mod desosebit se retine faptul ca succesul, din punct de vedere cantitativ si calitativ al colectarii selective trebuie sa aiba loc in principal in interiorul spatiului casnic sau privat.</w:t>
      </w:r>
    </w:p>
    <w:p>
      <w:pPr>
        <w:shd w:val="clear" w:color="auto" w:fill="FFFFFF"/>
        <w:contextualSpacing/>
        <w:jc w:val="both"/>
        <w:rPr>
          <w:rFonts w:ascii="Times New Roman" w:hAnsi="Times New Roman"/>
        </w:rPr>
      </w:pPr>
      <w:r>
        <w:rPr>
          <w:rFonts w:ascii="Times New Roman" w:hAnsi="Times New Roman"/>
        </w:rPr>
        <w:t>In definitiv, este vorba despre construirea unui pact al comunei, care se va concretiza printr-un serviciu de salubrizare de calitate, o gestiune a costurilor rezonabile si o atentie particulara catre protejarea mediului prin intermediul valorificarii deseurilor colectate si a finalizarii procesului de colectare, ciclic. Investiția propusă urmareste rezolvarea problemelor de mediu operationale asociate generarii si gestionarii deseurilor, precum si dezvoltarea unui centru de colectare a deseurilor la nivelul UAT-lui, care sa imbunatateasca nivelul de trai al cetatenilor si sa atinga tintele de colectare si reciclare a deseurilor.</w:t>
      </w:r>
    </w:p>
    <w:p>
      <w:pPr>
        <w:pStyle w:val="7"/>
        <w:jc w:val="both"/>
        <w:rPr>
          <w:rFonts w:ascii="Times New Roman" w:hAnsi="Times New Roman" w:eastAsia="Times New Roman" w:cs="Times New Roman"/>
        </w:rPr>
      </w:pPr>
    </w:p>
    <w:p>
      <w:pPr>
        <w:pStyle w:val="7"/>
        <w:ind w:firstLine="720"/>
        <w:jc w:val="both"/>
        <w:rPr>
          <w:rFonts w:ascii="Times New Roman" w:hAnsi="Times New Roman" w:eastAsia="Times New Roman" w:cs="Times New Roman"/>
        </w:rPr>
      </w:pPr>
      <w:r>
        <w:rPr>
          <w:rFonts w:ascii="Times New Roman" w:hAnsi="Times New Roman" w:eastAsia="Times New Roman" w:cs="Times New Roman"/>
        </w:rPr>
        <w:t xml:space="preserve">Oportunitatea investiției rezultă din posibilitatea accesării unor fonduri nerambrusabile prin Planului Național de Redresare și Reziliență (PNRR) - COMPONENTA 3 – MANAGEMENTUL DEȘEURILOR, SUBINVESTIȚIA I1.A. - </w:t>
      </w:r>
      <w:r>
        <w:rPr>
          <w:rFonts w:ascii="Times New Roman" w:hAnsi="Times New Roman" w:eastAsiaTheme="minorHAnsi"/>
          <w:lang w:val="en-US"/>
        </w:rPr>
        <w:t>ÎNFIINȚAREA DE CENTRE DE COLECTARE PRIN APORT VOLUNTAR</w:t>
      </w:r>
      <w:r>
        <w:rPr>
          <w:rFonts w:ascii="Times New Roman" w:hAnsi="Times New Roman" w:eastAsia="Times New Roman" w:cs="Times New Roman"/>
        </w:rPr>
        <w:t xml:space="preserve">, finanțat prin Ministerul Mediului, Apelor și Pădurilor, în vederea asigurării la nivel local a unui management performant al deșeurilor, cu un impact cât mai redus asupra mediului și a sănătății umane, cu un consum minim de resurse și energie, prin aplicarea la nivel operațional al ierarhiei deșeurilor implicând: prevenirea generării deșeurilor, pregătirea pentru reutilizare, reciclarea, recuperarea. </w:t>
      </w:r>
    </w:p>
    <w:p>
      <w:pPr>
        <w:pStyle w:val="8"/>
        <w:spacing w:line="276" w:lineRule="auto"/>
        <w:jc w:val="both"/>
        <w:rPr>
          <w:rFonts w:ascii="Times New Roman" w:hAnsi="Times New Roman" w:cs="Times New Roman"/>
          <w:bCs/>
          <w:sz w:val="24"/>
          <w:szCs w:val="24"/>
        </w:rPr>
      </w:pPr>
      <w:r>
        <w:rPr>
          <w:rFonts w:ascii="Times New Roman" w:hAnsi="Times New Roman" w:cs="Times New Roman"/>
          <w:bCs/>
          <w:sz w:val="24"/>
          <w:szCs w:val="24"/>
        </w:rPr>
        <w:t>Astfel, sistemele supraterane de colectare selectivă a deșeurilor propuse elimină numeroase probleme cauzate de spațiile actiale desemnate colectării. Acestea reduc cu mult mirosurile neplăcute, riscul de vandalizare al containerelor interioare, riscul apariției rozătoarelor și animalelor fără stăpân sau sălbatice. Totodată, au un aspect modern ce se încadrează perfect în orice peisaj.</w:t>
      </w:r>
    </w:p>
    <w:p>
      <w:pPr>
        <w:pStyle w:val="7"/>
        <w:jc w:val="both"/>
        <w:rPr>
          <w:rFonts w:ascii="Times New Roman" w:hAnsi="Times New Roman" w:eastAsia="Times New Roman" w:cs="Times New Roman"/>
        </w:rPr>
      </w:pPr>
    </w:p>
    <w:p>
      <w:pPr>
        <w:pStyle w:val="7"/>
        <w:ind w:firstLine="720"/>
        <w:jc w:val="both"/>
        <w:rPr>
          <w:rFonts w:ascii="Times New Roman" w:hAnsi="Times New Roman" w:eastAsia="Times New Roman" w:cs="Times New Roman"/>
        </w:rPr>
      </w:pPr>
      <w:r>
        <w:rPr>
          <w:rFonts w:ascii="Times New Roman" w:hAnsi="Times New Roman" w:eastAsia="Times New Roman" w:cs="Times New Roman"/>
        </w:rPr>
        <w:t>Este de subliniat faptul că, deseurile sunt intotdeauna considerate o resursa pentru o gestionare eficienta si pentru atingerea obiectivelor din Strategia “Europa 2020” pentru o crestere economica inteligenta,  sustenabila si inclusiva.</w:t>
      </w:r>
    </w:p>
    <w:p>
      <w:pPr>
        <w:pStyle w:val="7"/>
        <w:ind w:firstLine="360"/>
        <w:jc w:val="both"/>
        <w:rPr>
          <w:rFonts w:ascii="Times New Roman" w:hAnsi="Times New Roman" w:eastAsia="Times New Roman" w:cs="Times New Roman"/>
        </w:rPr>
      </w:pPr>
      <w:r>
        <w:rPr>
          <w:rFonts w:ascii="Times New Roman" w:hAnsi="Times New Roman" w:eastAsia="Times New Roman" w:cs="Times New Roman"/>
        </w:rPr>
        <w:t>Prin intermendiul prezentului proiect se urmărește dezvoltarea comunității al Comunei Ciumeghiu intr-un mod controlat abordând cele trei dimensiuni ale conceptului de dezvoltare durabilă și anume dimensiunea ecologică, dimensiunea economică și cea socială.</w:t>
      </w:r>
    </w:p>
    <w:p>
      <w:pPr>
        <w:pStyle w:val="6"/>
        <w:jc w:val="both"/>
        <w:rPr>
          <w:b/>
          <w:bCs/>
        </w:rPr>
      </w:pPr>
    </w:p>
    <w:p>
      <w:pPr>
        <w:pStyle w:val="5"/>
        <w:numPr>
          <w:ilvl w:val="0"/>
          <w:numId w:val="2"/>
        </w:numPr>
        <w:suppressAutoHyphens w:val="0"/>
        <w:autoSpaceDE w:val="0"/>
        <w:autoSpaceDN w:val="0"/>
        <w:adjustRightInd w:val="0"/>
        <w:spacing w:after="0" w:line="240" w:lineRule="auto"/>
        <w:jc w:val="both"/>
        <w:rPr>
          <w:rFonts w:ascii="Times New Roman" w:hAnsi="Times New Roman" w:cs="Times New Roman" w:eastAsiaTheme="minorHAnsi"/>
          <w:b/>
          <w:bCs/>
          <w:lang w:val="en-US" w:eastAsia="en-US"/>
        </w:rPr>
      </w:pPr>
      <w:r>
        <w:rPr>
          <w:rFonts w:ascii="Times New Roman" w:hAnsi="Times New Roman" w:cs="Times New Roman" w:eastAsiaTheme="minorHAnsi"/>
          <w:b/>
          <w:bCs/>
          <w:lang w:val="en-US" w:eastAsia="en-US"/>
        </w:rPr>
        <w:t>Indicatori economici ale proiectului</w:t>
      </w:r>
    </w:p>
    <w:p>
      <w:pPr>
        <w:suppressAutoHyphens w:val="0"/>
        <w:autoSpaceDE w:val="0"/>
        <w:autoSpaceDN w:val="0"/>
        <w:adjustRightInd w:val="0"/>
        <w:spacing w:after="0" w:line="240" w:lineRule="auto"/>
        <w:jc w:val="both"/>
        <w:rPr>
          <w:rFonts w:ascii="Times New Roman" w:hAnsi="Times New Roman" w:cs="Times New Roman" w:eastAsiaTheme="minorHAnsi"/>
          <w:lang w:val="en-US" w:eastAsia="en-US"/>
        </w:rPr>
      </w:pPr>
    </w:p>
    <w:p>
      <w:pPr>
        <w:suppressAutoHyphens w:val="0"/>
        <w:autoSpaceDE w:val="0"/>
        <w:autoSpaceDN w:val="0"/>
        <w:adjustRightInd w:val="0"/>
        <w:spacing w:after="0" w:line="24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În vederea estimării Valoarii maximă eligibilă a proiectului, s-a ținut cont de costurile unitare stabilite prin Ghidul SPECIFIC - CONDIȚII DE ACCESARE A FONDURILOR EUROPENE AFERENTE PNRR ÎN CADRUL APELULUI DE PROIECTE PNRR/ 2022/C3/S/I.1.A .</w:t>
      </w:r>
    </w:p>
    <w:p>
      <w:pPr>
        <w:suppressAutoHyphens w:val="0"/>
        <w:autoSpaceDE w:val="0"/>
        <w:autoSpaceDN w:val="0"/>
        <w:adjustRightInd w:val="0"/>
        <w:spacing w:after="0" w:line="240" w:lineRule="auto"/>
        <w:jc w:val="both"/>
        <w:rPr>
          <w:rFonts w:ascii="Times New Roman" w:hAnsi="Times New Roman" w:cs="Times New Roman" w:eastAsiaTheme="minorHAnsi"/>
          <w:highlight w:val="yellow"/>
          <w:lang w:val="en-US" w:eastAsia="en-US"/>
        </w:rPr>
      </w:pPr>
    </w:p>
    <w:p>
      <w:pPr>
        <w:suppressAutoHyphens w:val="0"/>
        <w:autoSpaceDE w:val="0"/>
        <w:autoSpaceDN w:val="0"/>
        <w:adjustRightInd w:val="0"/>
        <w:spacing w:after="0" w:line="240" w:lineRule="auto"/>
        <w:jc w:val="both"/>
        <w:rPr>
          <w:rFonts w:ascii="Times New Roman" w:hAnsi="Times New Roman" w:cs="Times New Roman" w:eastAsiaTheme="minorHAnsi"/>
          <w:highlight w:val="yellow"/>
          <w:lang w:val="en-US" w:eastAsia="en-US"/>
        </w:rPr>
      </w:pPr>
    </w:p>
    <w:tbl>
      <w:tblPr>
        <w:tblStyle w:val="4"/>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4"/>
        <w:gridCol w:w="4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444" w:type="dxa"/>
            <w:shd w:val="clear" w:color="auto" w:fill="8EAADB" w:themeFill="accent1" w:themeFillTint="99"/>
          </w:tcPr>
          <w:p>
            <w:pPr>
              <w:suppressAutoHyphens w:val="0"/>
              <w:autoSpaceDE w:val="0"/>
              <w:autoSpaceDN w:val="0"/>
              <w:adjustRightInd w:val="0"/>
              <w:spacing w:after="0" w:line="240" w:lineRule="auto"/>
              <w:jc w:val="both"/>
              <w:rPr>
                <w:rFonts w:ascii="Times New Roman" w:hAnsi="Times New Roman" w:cs="Times New Roman" w:eastAsiaTheme="minorHAnsi"/>
                <w:b/>
                <w:bCs/>
                <w:lang w:val="en-US" w:eastAsia="en-US"/>
              </w:rPr>
            </w:pPr>
            <w:r>
              <w:rPr>
                <w:rFonts w:ascii="Times New Roman" w:hAnsi="Times New Roman" w:cs="Times New Roman" w:eastAsiaTheme="minorHAnsi"/>
                <w:b/>
                <w:bCs/>
                <w:lang w:val="en-US" w:eastAsia="en-US"/>
              </w:rPr>
              <w:t xml:space="preserve">Valoarea totală maximă eligibilă, fără  TVA </w:t>
            </w:r>
          </w:p>
          <w:p>
            <w:pPr>
              <w:suppressAutoHyphens w:val="0"/>
              <w:autoSpaceDE w:val="0"/>
              <w:autoSpaceDN w:val="0"/>
              <w:adjustRightInd w:val="0"/>
              <w:spacing w:after="0" w:line="240" w:lineRule="auto"/>
              <w:jc w:val="both"/>
              <w:rPr>
                <w:rFonts w:ascii="Times New Roman" w:hAnsi="Times New Roman" w:cs="Times New Roman" w:eastAsiaTheme="minorHAnsi"/>
                <w:b/>
                <w:bCs/>
                <w:lang w:val="en-US" w:eastAsia="en-US"/>
              </w:rPr>
            </w:pPr>
            <w:r>
              <w:rPr>
                <w:rFonts w:ascii="Times New Roman" w:hAnsi="Times New Roman" w:cs="Times New Roman" w:eastAsiaTheme="minorHAnsi"/>
                <w:b/>
                <w:bCs/>
                <w:lang w:val="en-US" w:eastAsia="en-US"/>
              </w:rPr>
              <w:t>( euro)</w:t>
            </w:r>
          </w:p>
        </w:tc>
        <w:tc>
          <w:tcPr>
            <w:tcW w:w="4606" w:type="dxa"/>
            <w:shd w:val="clear" w:color="auto" w:fill="8EAADB" w:themeFill="accent1" w:themeFillTint="99"/>
          </w:tcPr>
          <w:p>
            <w:pPr>
              <w:suppressAutoHyphens w:val="0"/>
              <w:autoSpaceDE w:val="0"/>
              <w:autoSpaceDN w:val="0"/>
              <w:adjustRightInd w:val="0"/>
              <w:spacing w:after="0" w:line="240" w:lineRule="auto"/>
              <w:jc w:val="both"/>
              <w:rPr>
                <w:rFonts w:ascii="Times New Roman" w:hAnsi="Times New Roman" w:cs="Times New Roman" w:eastAsiaTheme="minorHAnsi"/>
                <w:b/>
                <w:bCs/>
                <w:lang w:val="en-US" w:eastAsia="en-US"/>
              </w:rPr>
            </w:pPr>
            <w:r>
              <w:rPr>
                <w:rFonts w:ascii="Times New Roman" w:hAnsi="Times New Roman" w:cs="Times New Roman" w:eastAsiaTheme="minorHAnsi"/>
                <w:b/>
                <w:bCs/>
                <w:lang w:val="en-US" w:eastAsia="en-US"/>
              </w:rPr>
              <w:t xml:space="preserve">Valoarea totală maximă eligibilă, fără  TVA </w:t>
            </w:r>
          </w:p>
          <w:p>
            <w:pPr>
              <w:suppressAutoHyphens w:val="0"/>
              <w:autoSpaceDE w:val="0"/>
              <w:autoSpaceDN w:val="0"/>
              <w:adjustRightInd w:val="0"/>
              <w:spacing w:after="0" w:line="240" w:lineRule="auto"/>
              <w:jc w:val="both"/>
              <w:rPr>
                <w:rFonts w:ascii="Times New Roman" w:hAnsi="Times New Roman" w:cs="Times New Roman" w:eastAsiaTheme="minorHAnsi"/>
                <w:b/>
                <w:bCs/>
                <w:lang w:val="en-US" w:eastAsia="en-US"/>
              </w:rPr>
            </w:pPr>
            <w:r>
              <w:rPr>
                <w:rFonts w:ascii="Times New Roman" w:hAnsi="Times New Roman" w:cs="Times New Roman" w:eastAsiaTheme="minorHAnsi"/>
                <w:b/>
                <w:bCs/>
                <w:lang w:val="en-US" w:eastAsia="en-US"/>
              </w:rPr>
              <w:t>( 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5444" w:type="dxa"/>
          </w:tcPr>
          <w:p>
            <w:pPr>
              <w:suppressAutoHyphens w:val="0"/>
              <w:autoSpaceDE w:val="0"/>
              <w:autoSpaceDN w:val="0"/>
              <w:adjustRightInd w:val="0"/>
              <w:spacing w:after="0" w:line="240" w:lineRule="auto"/>
              <w:jc w:val="center"/>
              <w:rPr>
                <w:rFonts w:ascii="Times New Roman" w:hAnsi="Times New Roman" w:cs="Times New Roman" w:eastAsiaTheme="minorHAnsi"/>
                <w:lang w:val="en-US" w:eastAsia="en-US"/>
              </w:rPr>
            </w:pPr>
          </w:p>
          <w:p>
            <w:pPr>
              <w:suppressAutoHyphens w:val="0"/>
              <w:autoSpaceDE w:val="0"/>
              <w:autoSpaceDN w:val="0"/>
              <w:adjustRightInd w:val="0"/>
              <w:spacing w:after="0" w:line="240" w:lineRule="auto"/>
              <w:jc w:val="center"/>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778.720,00</w:t>
            </w:r>
          </w:p>
        </w:tc>
        <w:tc>
          <w:tcPr>
            <w:tcW w:w="4606" w:type="dxa"/>
          </w:tcPr>
          <w:p>
            <w:pPr>
              <w:suppressAutoHyphens w:val="0"/>
              <w:autoSpaceDE w:val="0"/>
              <w:autoSpaceDN w:val="0"/>
              <w:adjustRightInd w:val="0"/>
              <w:spacing w:after="0" w:line="240" w:lineRule="auto"/>
              <w:jc w:val="center"/>
              <w:rPr>
                <w:rFonts w:ascii="Times New Roman" w:hAnsi="Times New Roman" w:cs="Times New Roman" w:eastAsiaTheme="minorHAnsi"/>
                <w:lang w:val="en-US" w:eastAsia="en-US"/>
              </w:rPr>
            </w:pPr>
          </w:p>
          <w:p>
            <w:pPr>
              <w:suppressAutoHyphens w:val="0"/>
              <w:autoSpaceDE w:val="0"/>
              <w:autoSpaceDN w:val="0"/>
              <w:adjustRightInd w:val="0"/>
              <w:spacing w:after="0" w:line="240" w:lineRule="auto"/>
              <w:jc w:val="center"/>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3.830.913,04</w:t>
            </w:r>
          </w:p>
        </w:tc>
      </w:tr>
    </w:tbl>
    <w:p>
      <w:pPr>
        <w:suppressAutoHyphens w:val="0"/>
        <w:autoSpaceDE w:val="0"/>
        <w:autoSpaceDN w:val="0"/>
        <w:adjustRightInd w:val="0"/>
        <w:spacing w:after="0" w:line="240" w:lineRule="auto"/>
        <w:jc w:val="both"/>
        <w:rPr>
          <w:rFonts w:ascii="Times New Roman" w:hAnsi="Times New Roman" w:cs="Times New Roman" w:eastAsiaTheme="minorHAnsi"/>
          <w:highlight w:val="yellow"/>
          <w:lang w:val="en-US" w:eastAsia="en-US"/>
        </w:rPr>
      </w:pPr>
    </w:p>
    <w:p>
      <w:pPr>
        <w:tabs>
          <w:tab w:val="left" w:pos="1134"/>
        </w:tabs>
        <w:spacing w:after="0" w:line="240" w:lineRule="auto"/>
        <w:jc w:val="both"/>
        <w:rPr>
          <w:rFonts w:ascii="Times New Roman" w:hAnsi="Times New Roman" w:cs="Times New Roman"/>
          <w:bCs/>
        </w:rPr>
      </w:pPr>
    </w:p>
    <w:p>
      <w:pPr>
        <w:tabs>
          <w:tab w:val="left" w:pos="1134"/>
        </w:tabs>
        <w:spacing w:after="0" w:line="240" w:lineRule="auto"/>
        <w:jc w:val="both"/>
        <w:rPr>
          <w:rFonts w:ascii="Times New Roman" w:hAnsi="Times New Roman" w:cs="Times New Roman"/>
          <w:bCs/>
        </w:rPr>
      </w:pPr>
      <w:r>
        <w:rPr>
          <w:rFonts w:ascii="Times New Roman" w:hAnsi="Times New Roman" w:cs="Times New Roman"/>
          <w:bCs/>
        </w:rPr>
        <w:t>Numărul de locuitori deserviţi de proiect:   ________</w:t>
      </w:r>
    </w:p>
    <w:p>
      <w:pPr>
        <w:tabs>
          <w:tab w:val="left" w:pos="1134"/>
        </w:tabs>
        <w:spacing w:after="0" w:line="240" w:lineRule="auto"/>
        <w:jc w:val="both"/>
        <w:rPr>
          <w:rFonts w:ascii="Times New Roman" w:hAnsi="Times New Roman" w:cs="Times New Roman"/>
          <w:bCs/>
        </w:rPr>
      </w:pPr>
    </w:p>
    <w:p>
      <w:pPr>
        <w:suppressAutoHyphens w:val="0"/>
        <w:autoSpaceDE w:val="0"/>
        <w:autoSpaceDN w:val="0"/>
        <w:adjustRightInd w:val="0"/>
        <w:spacing w:after="0" w:line="240" w:lineRule="auto"/>
        <w:jc w:val="both"/>
        <w:rPr>
          <w:rFonts w:ascii="Times New Roman" w:hAnsi="Times New Roman" w:cs="Times New Roman" w:eastAsiaTheme="minorHAnsi"/>
          <w:b/>
          <w:lang w:val="en-US" w:eastAsia="en-US"/>
        </w:rPr>
      </w:pPr>
    </w:p>
    <w:p>
      <w:pPr>
        <w:suppressAutoHyphens w:val="0"/>
        <w:autoSpaceDE w:val="0"/>
        <w:autoSpaceDN w:val="0"/>
        <w:adjustRightInd w:val="0"/>
        <w:spacing w:after="0" w:line="240" w:lineRule="auto"/>
        <w:jc w:val="both"/>
        <w:rPr>
          <w:rFonts w:ascii="Times New Roman" w:hAnsi="Times New Roman" w:cs="Times New Roman" w:eastAsiaTheme="minorHAnsi"/>
          <w:lang w:val="en-US" w:eastAsia="en-US"/>
        </w:rPr>
      </w:pPr>
    </w:p>
    <w:p>
      <w:pPr>
        <w:suppressAutoHyphens w:val="0"/>
        <w:autoSpaceDE w:val="0"/>
        <w:autoSpaceDN w:val="0"/>
        <w:adjustRightInd w:val="0"/>
        <w:spacing w:after="0" w:line="240" w:lineRule="auto"/>
        <w:jc w:val="both"/>
        <w:rPr>
          <w:rFonts w:ascii="Times New Roman" w:hAnsi="Times New Roman" w:cs="Times New Roman" w:eastAsiaTheme="minorHAnsi"/>
          <w:lang w:val="en-US" w:eastAsia="en-US"/>
        </w:rPr>
      </w:pPr>
    </w:p>
    <w:p>
      <w:pPr>
        <w:suppressAutoHyphens w:val="0"/>
        <w:autoSpaceDE w:val="0"/>
        <w:autoSpaceDN w:val="0"/>
        <w:adjustRightInd w:val="0"/>
        <w:spacing w:after="0" w:line="240" w:lineRule="auto"/>
        <w:jc w:val="both"/>
        <w:rPr>
          <w:rFonts w:ascii="Times New Roman" w:hAnsi="Times New Roman" w:cs="Times New Roman" w:eastAsiaTheme="minorHAnsi"/>
          <w:color w:val="FF0000"/>
          <w:lang w:val="en-US" w:eastAsia="en-US"/>
        </w:rPr>
      </w:pPr>
    </w:p>
    <w:sectPr>
      <w:pgSz w:w="12240" w:h="15840"/>
      <w:pgMar w:top="568"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1CCD0ECB"/>
    <w:multiLevelType w:val="multilevel"/>
    <w:tmpl w:val="1CCD0E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C3"/>
    <w:rsid w:val="00050F6B"/>
    <w:rsid w:val="0005755D"/>
    <w:rsid w:val="00062212"/>
    <w:rsid w:val="00104759"/>
    <w:rsid w:val="00137538"/>
    <w:rsid w:val="00153A8D"/>
    <w:rsid w:val="00170131"/>
    <w:rsid w:val="001842A1"/>
    <w:rsid w:val="0019640D"/>
    <w:rsid w:val="001A34C3"/>
    <w:rsid w:val="001C117A"/>
    <w:rsid w:val="001D6FF2"/>
    <w:rsid w:val="001F5555"/>
    <w:rsid w:val="00252913"/>
    <w:rsid w:val="00254754"/>
    <w:rsid w:val="00266CC7"/>
    <w:rsid w:val="002835E0"/>
    <w:rsid w:val="00294345"/>
    <w:rsid w:val="00295890"/>
    <w:rsid w:val="002962BF"/>
    <w:rsid w:val="002A3641"/>
    <w:rsid w:val="002C5B2A"/>
    <w:rsid w:val="00314B6F"/>
    <w:rsid w:val="00361DE5"/>
    <w:rsid w:val="003623C2"/>
    <w:rsid w:val="00370E6B"/>
    <w:rsid w:val="0039145F"/>
    <w:rsid w:val="003B2867"/>
    <w:rsid w:val="004867BD"/>
    <w:rsid w:val="00525769"/>
    <w:rsid w:val="00590434"/>
    <w:rsid w:val="005B6380"/>
    <w:rsid w:val="005C771F"/>
    <w:rsid w:val="005F553B"/>
    <w:rsid w:val="0064670C"/>
    <w:rsid w:val="0068178E"/>
    <w:rsid w:val="006D5542"/>
    <w:rsid w:val="006D79B4"/>
    <w:rsid w:val="006F6BFE"/>
    <w:rsid w:val="0070252D"/>
    <w:rsid w:val="00776FF8"/>
    <w:rsid w:val="0078387A"/>
    <w:rsid w:val="007A57B3"/>
    <w:rsid w:val="007A7F8B"/>
    <w:rsid w:val="007B4752"/>
    <w:rsid w:val="007C1659"/>
    <w:rsid w:val="007C3BAE"/>
    <w:rsid w:val="007D72CB"/>
    <w:rsid w:val="007E5F73"/>
    <w:rsid w:val="007F45E1"/>
    <w:rsid w:val="0081247C"/>
    <w:rsid w:val="00816018"/>
    <w:rsid w:val="00856038"/>
    <w:rsid w:val="00862ACB"/>
    <w:rsid w:val="008E4B72"/>
    <w:rsid w:val="008F79F9"/>
    <w:rsid w:val="00944B4C"/>
    <w:rsid w:val="00947777"/>
    <w:rsid w:val="00967909"/>
    <w:rsid w:val="009935DC"/>
    <w:rsid w:val="00996C61"/>
    <w:rsid w:val="00A12C01"/>
    <w:rsid w:val="00A36EF8"/>
    <w:rsid w:val="00A53033"/>
    <w:rsid w:val="00A55606"/>
    <w:rsid w:val="00A55996"/>
    <w:rsid w:val="00A61CBB"/>
    <w:rsid w:val="00A62227"/>
    <w:rsid w:val="00A67082"/>
    <w:rsid w:val="00AF21D3"/>
    <w:rsid w:val="00AF2CA4"/>
    <w:rsid w:val="00B00B39"/>
    <w:rsid w:val="00B0498E"/>
    <w:rsid w:val="00B55605"/>
    <w:rsid w:val="00B65CAA"/>
    <w:rsid w:val="00B71055"/>
    <w:rsid w:val="00B96A68"/>
    <w:rsid w:val="00BD6EA2"/>
    <w:rsid w:val="00C129D9"/>
    <w:rsid w:val="00C24F74"/>
    <w:rsid w:val="00C43AAB"/>
    <w:rsid w:val="00C974E9"/>
    <w:rsid w:val="00CB0676"/>
    <w:rsid w:val="00CC2A87"/>
    <w:rsid w:val="00CE6AD3"/>
    <w:rsid w:val="00CF49AF"/>
    <w:rsid w:val="00D04601"/>
    <w:rsid w:val="00D305E4"/>
    <w:rsid w:val="00D3763C"/>
    <w:rsid w:val="00D53918"/>
    <w:rsid w:val="00D55C8B"/>
    <w:rsid w:val="00D60F75"/>
    <w:rsid w:val="00D76426"/>
    <w:rsid w:val="00D855C5"/>
    <w:rsid w:val="00DB44D3"/>
    <w:rsid w:val="00DF640C"/>
    <w:rsid w:val="00E16AC4"/>
    <w:rsid w:val="00E91E1B"/>
    <w:rsid w:val="00E93FA1"/>
    <w:rsid w:val="00EC1FD1"/>
    <w:rsid w:val="00EF0BA1"/>
    <w:rsid w:val="00F9469B"/>
    <w:rsid w:val="00FC52EB"/>
    <w:rsid w:val="00FD7FF2"/>
    <w:rsid w:val="00FE2F69"/>
    <w:rsid w:val="00FE73DC"/>
    <w:rsid w:val="00FF667E"/>
    <w:rsid w:val="36661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Arial" w:hAnsi="Arial" w:eastAsia="Calibri" w:cs="Arial"/>
      <w:sz w:val="24"/>
      <w:szCs w:val="24"/>
      <w:lang w:val="ro-RO"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 w:type="paragraph" w:customStyle="1" w:styleId="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customStyle="1" w:styleId="7">
    <w:name w:val="Standard"/>
    <w:qFormat/>
    <w:uiPriority w:val="0"/>
    <w:pPr>
      <w:spacing w:after="0" w:line="240" w:lineRule="auto"/>
    </w:pPr>
    <w:rPr>
      <w:rFonts w:ascii="Arial" w:hAnsi="Arial" w:eastAsia="SimSun" w:cs="Arial"/>
      <w:color w:val="000000"/>
      <w:kern w:val="2"/>
      <w:sz w:val="24"/>
      <w:szCs w:val="24"/>
      <w:lang w:val="ro-RO" w:eastAsia="hi-IN" w:bidi="hi-IN"/>
    </w:rPr>
  </w:style>
  <w:style w:type="paragraph" w:styleId="8">
    <w:name w:val="No Spacing"/>
    <w:qFormat/>
    <w:uiPriority w:val="1"/>
    <w:pPr>
      <w:spacing w:after="0" w:line="240" w:lineRule="auto"/>
    </w:pPr>
    <w:rPr>
      <w:rFonts w:ascii="Calibri" w:hAnsi="Calibri" w:eastAsia="Calibri" w:cs="Calibri"/>
      <w:sz w:val="22"/>
      <w:szCs w:val="22"/>
      <w:lang w:val="ro-RO"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540</Words>
  <Characters>3079</Characters>
  <Lines>25</Lines>
  <Paragraphs>7</Paragraphs>
  <TotalTime>1430</TotalTime>
  <ScaleCrop>false</ScaleCrop>
  <LinksUpToDate>false</LinksUpToDate>
  <CharactersWithSpaces>3612</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2022-03-27T16:26:00Z</dcterms:created>
  <dc:creator>Axis</dc:creator>
  <cp:lastModifiedBy>Primaria Ciumeghiu</cp:lastModifiedBy>
  <dcterms:modified xsi:type="dcterms:W3CDTF">2022-09-16T22:50:03Z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99D8A82B7C0A481DA50BDD966D12AC3B</vt:lpwstr>
  </property>
</Properties>
</file>