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239E0F" w14:textId="77777777" w:rsidR="00363BD8" w:rsidRPr="0018082F" w:rsidRDefault="00363BD8" w:rsidP="0018082F">
      <w:pPr>
        <w:jc w:val="right"/>
        <w:rPr>
          <w:rFonts w:asciiTheme="majorHAnsi" w:hAnsiTheme="majorHAnsi"/>
        </w:rPr>
      </w:pPr>
      <w:r>
        <w:rPr>
          <w:rFonts w:asciiTheme="majorHAnsi" w:hAnsiTheme="majorHAnsi"/>
        </w:rPr>
        <w:t>Anexa 1 la HCL…................</w:t>
      </w:r>
    </w:p>
    <w:p w14:paraId="75738EA5" w14:textId="63247FF4" w:rsidR="00363BD8" w:rsidRDefault="00363BD8" w:rsidP="00363BD8">
      <w:pPr>
        <w:pStyle w:val="BodyText"/>
        <w:spacing w:after="1400"/>
        <w:ind w:firstLine="0"/>
        <w:jc w:val="center"/>
        <w:rPr>
          <w:sz w:val="32"/>
          <w:szCs w:val="32"/>
        </w:rPr>
      </w:pPr>
      <w:r>
        <w:rPr>
          <w:b/>
          <w:bCs/>
          <w:color w:val="000000"/>
          <w:sz w:val="32"/>
          <w:szCs w:val="32"/>
        </w:rPr>
        <w:t>Regulament</w:t>
      </w:r>
      <w:r w:rsidR="008A6645" w:rsidRPr="008A6645">
        <w:rPr>
          <w:szCs w:val="28"/>
        </w:rPr>
        <w:t xml:space="preserve"> </w:t>
      </w:r>
      <w:r w:rsidR="008A6645" w:rsidRPr="008A6645">
        <w:rPr>
          <w:b/>
          <w:sz w:val="32"/>
          <w:szCs w:val="32"/>
        </w:rPr>
        <w:t>privind aplicarea taxei speciale</w:t>
      </w:r>
      <w:r w:rsidR="009C408A">
        <w:rPr>
          <w:b/>
          <w:sz w:val="32"/>
          <w:szCs w:val="32"/>
        </w:rPr>
        <w:t>, funcţionarea</w:t>
      </w:r>
      <w:r w:rsidR="008A6645" w:rsidRPr="008A6645">
        <w:rPr>
          <w:b/>
          <w:sz w:val="32"/>
          <w:szCs w:val="32"/>
        </w:rPr>
        <w:t xml:space="preserve"> şi exploatarea stațiilor electrice de încărcare a </w:t>
      </w:r>
      <w:r w:rsidR="00F47ABA">
        <w:rPr>
          <w:b/>
          <w:sz w:val="32"/>
          <w:szCs w:val="32"/>
        </w:rPr>
        <w:t>autovehiculelor</w:t>
      </w:r>
      <w:r w:rsidR="008A6645" w:rsidRPr="008A6645">
        <w:rPr>
          <w:b/>
          <w:sz w:val="32"/>
          <w:szCs w:val="32"/>
        </w:rPr>
        <w:t xml:space="preserve"> electrice/hibride</w:t>
      </w:r>
      <w:r>
        <w:rPr>
          <w:b/>
          <w:bCs/>
          <w:color w:val="000000"/>
          <w:sz w:val="32"/>
          <w:szCs w:val="32"/>
        </w:rPr>
        <w:t xml:space="preserve"> </w:t>
      </w:r>
      <w:r w:rsidR="00A06D93">
        <w:rPr>
          <w:b/>
          <w:bCs/>
          <w:sz w:val="32"/>
          <w:szCs w:val="32"/>
        </w:rPr>
        <w:t>plug-in</w:t>
      </w:r>
      <w:bookmarkStart w:id="0" w:name="_GoBack"/>
      <w:bookmarkEnd w:id="0"/>
    </w:p>
    <w:p w14:paraId="6D34510A" w14:textId="77777777" w:rsidR="00363BD8" w:rsidRDefault="00363BD8" w:rsidP="00363BD8">
      <w:pPr>
        <w:pStyle w:val="BodyText"/>
        <w:spacing w:line="223" w:lineRule="auto"/>
        <w:ind w:firstLine="0"/>
        <w:rPr>
          <w:b/>
          <w:bCs/>
          <w:color w:val="000000"/>
          <w:sz w:val="30"/>
          <w:szCs w:val="30"/>
        </w:rPr>
      </w:pPr>
      <w:r>
        <w:rPr>
          <w:b/>
          <w:bCs/>
          <w:color w:val="000000"/>
          <w:sz w:val="30"/>
          <w:szCs w:val="30"/>
        </w:rPr>
        <w:t>Capitolul I - Dispoziții generale</w:t>
      </w:r>
    </w:p>
    <w:p w14:paraId="0B15EBA4" w14:textId="77777777" w:rsidR="00363BD8" w:rsidRDefault="00363BD8" w:rsidP="00363BD8">
      <w:pPr>
        <w:pStyle w:val="BodyText"/>
        <w:spacing w:line="223" w:lineRule="auto"/>
        <w:ind w:firstLine="0"/>
      </w:pPr>
    </w:p>
    <w:p w14:paraId="62FDA18E" w14:textId="77777777" w:rsidR="00363BD8" w:rsidRDefault="00363BD8" w:rsidP="00363BD8">
      <w:pPr>
        <w:pStyle w:val="BodyText"/>
        <w:spacing w:line="223" w:lineRule="auto"/>
        <w:ind w:firstLine="380"/>
        <w:jc w:val="both"/>
        <w:rPr>
          <w:b/>
          <w:bCs/>
          <w:color w:val="000000"/>
          <w:sz w:val="30"/>
          <w:szCs w:val="30"/>
        </w:rPr>
      </w:pPr>
      <w:r>
        <w:rPr>
          <w:b/>
          <w:bCs/>
          <w:color w:val="000000"/>
          <w:sz w:val="30"/>
          <w:szCs w:val="30"/>
        </w:rPr>
        <w:t>Art. 1 Cadru Legal</w:t>
      </w:r>
    </w:p>
    <w:p w14:paraId="372BC085" w14:textId="77777777" w:rsidR="00363BD8" w:rsidRDefault="00363BD8" w:rsidP="00363BD8">
      <w:pPr>
        <w:pStyle w:val="BodyText"/>
        <w:spacing w:line="223" w:lineRule="auto"/>
        <w:ind w:firstLine="380"/>
        <w:jc w:val="both"/>
      </w:pPr>
    </w:p>
    <w:p w14:paraId="2485726E" w14:textId="77777777" w:rsidR="00363BD8" w:rsidRDefault="00363BD8" w:rsidP="00363BD8">
      <w:pPr>
        <w:pStyle w:val="BodyText"/>
        <w:spacing w:line="223" w:lineRule="auto"/>
        <w:ind w:firstLine="380"/>
        <w:jc w:val="both"/>
      </w:pPr>
      <w:r>
        <w:rPr>
          <w:color w:val="000000"/>
        </w:rPr>
        <w:t>Prezentul Regulament a fost întocmit în baza următoarelor acte normative:</w:t>
      </w:r>
    </w:p>
    <w:p w14:paraId="2E839DB5" w14:textId="77777777" w:rsidR="00363BD8" w:rsidRDefault="00363BD8" w:rsidP="00363BD8">
      <w:pPr>
        <w:pStyle w:val="BodyText"/>
        <w:numPr>
          <w:ilvl w:val="0"/>
          <w:numId w:val="1"/>
        </w:numPr>
        <w:tabs>
          <w:tab w:val="left" w:pos="709"/>
        </w:tabs>
        <w:spacing w:line="223" w:lineRule="auto"/>
        <w:ind w:firstLine="380"/>
        <w:jc w:val="both"/>
      </w:pPr>
      <w:bookmarkStart w:id="1" w:name="bookmark0"/>
      <w:bookmarkEnd w:id="1"/>
      <w:r>
        <w:rPr>
          <w:color w:val="000000"/>
        </w:rPr>
        <w:t>Ordonanța Guvernului nr. 71/2002 privind organizarea și funcționarea servicilor publice de administrare a domeniului public și privat de interes local, cu modificările și completările ulterioare;</w:t>
      </w:r>
    </w:p>
    <w:p w14:paraId="0A4607FE" w14:textId="77777777" w:rsidR="00363BD8" w:rsidRDefault="00363BD8" w:rsidP="00363BD8">
      <w:pPr>
        <w:pStyle w:val="BodyText"/>
        <w:numPr>
          <w:ilvl w:val="0"/>
          <w:numId w:val="1"/>
        </w:numPr>
        <w:tabs>
          <w:tab w:val="left" w:pos="709"/>
        </w:tabs>
        <w:spacing w:line="223" w:lineRule="auto"/>
        <w:ind w:firstLine="380"/>
        <w:jc w:val="both"/>
      </w:pPr>
      <w:bookmarkStart w:id="2" w:name="bookmark1"/>
      <w:bookmarkEnd w:id="2"/>
      <w:r>
        <w:rPr>
          <w:color w:val="000000"/>
        </w:rPr>
        <w:t>Legea nr. 3 din 9 ianuarie 2003 pentru aprobarea Ordonanței Guvernului nr. 71/2002 privind organizarea si funcționarea serviciilor publice de administrare a domeniului public și privat de interes local;</w:t>
      </w:r>
    </w:p>
    <w:p w14:paraId="3BAD4994" w14:textId="77777777" w:rsidR="00363BD8" w:rsidRDefault="00363BD8" w:rsidP="00363BD8">
      <w:pPr>
        <w:pStyle w:val="BodyText"/>
        <w:numPr>
          <w:ilvl w:val="0"/>
          <w:numId w:val="1"/>
        </w:numPr>
        <w:tabs>
          <w:tab w:val="left" w:pos="709"/>
        </w:tabs>
        <w:spacing w:line="223" w:lineRule="auto"/>
        <w:ind w:firstLine="380"/>
        <w:jc w:val="both"/>
      </w:pPr>
      <w:bookmarkStart w:id="3" w:name="bookmark2"/>
      <w:bookmarkEnd w:id="3"/>
      <w:r>
        <w:rPr>
          <w:color w:val="000000"/>
        </w:rPr>
        <w:t>Ordonanța de urgentă a Guvernului nr. 195/2002 privind circulația pe drumurile publice, republicata, cu modificările și completările ulterioare;</w:t>
      </w:r>
    </w:p>
    <w:p w14:paraId="01EC9659" w14:textId="77777777" w:rsidR="00363BD8" w:rsidRDefault="00363BD8" w:rsidP="00363BD8">
      <w:pPr>
        <w:pStyle w:val="BodyText"/>
        <w:numPr>
          <w:ilvl w:val="0"/>
          <w:numId w:val="1"/>
        </w:numPr>
        <w:tabs>
          <w:tab w:val="left" w:pos="709"/>
        </w:tabs>
        <w:spacing w:line="223" w:lineRule="auto"/>
        <w:ind w:firstLine="380"/>
        <w:jc w:val="both"/>
      </w:pPr>
      <w:bookmarkStart w:id="4" w:name="bookmark3"/>
      <w:bookmarkEnd w:id="4"/>
      <w:r>
        <w:rPr>
          <w:color w:val="000000"/>
        </w:rPr>
        <w:t>Legea nr. 34/2017 privind instalarea infrastructurii pentru combustibili alternativi;</w:t>
      </w:r>
    </w:p>
    <w:p w14:paraId="6C50972A" w14:textId="77777777" w:rsidR="00363BD8" w:rsidRDefault="00363BD8" w:rsidP="00363BD8">
      <w:pPr>
        <w:pStyle w:val="BodyText"/>
        <w:numPr>
          <w:ilvl w:val="0"/>
          <w:numId w:val="1"/>
        </w:numPr>
        <w:tabs>
          <w:tab w:val="left" w:pos="709"/>
        </w:tabs>
        <w:spacing w:line="221" w:lineRule="auto"/>
        <w:ind w:firstLine="380"/>
        <w:jc w:val="both"/>
      </w:pPr>
      <w:bookmarkStart w:id="5" w:name="bookmark4"/>
      <w:bookmarkEnd w:id="5"/>
      <w:r>
        <w:rPr>
          <w:color w:val="000000"/>
        </w:rPr>
        <w:t>Standardul IEC 61851;</w:t>
      </w:r>
    </w:p>
    <w:p w14:paraId="6AC4275C" w14:textId="77777777" w:rsidR="00363BD8" w:rsidRDefault="00363BD8" w:rsidP="00363BD8">
      <w:pPr>
        <w:pStyle w:val="BodyText"/>
        <w:numPr>
          <w:ilvl w:val="0"/>
          <w:numId w:val="1"/>
        </w:numPr>
        <w:tabs>
          <w:tab w:val="left" w:pos="709"/>
        </w:tabs>
        <w:spacing w:line="221" w:lineRule="auto"/>
        <w:ind w:firstLine="380"/>
        <w:jc w:val="both"/>
      </w:pPr>
      <w:bookmarkStart w:id="6" w:name="bookmark5"/>
      <w:bookmarkEnd w:id="6"/>
      <w:r>
        <w:rPr>
          <w:color w:val="000000"/>
        </w:rPr>
        <w:t>Hotărârea Guvernului nr. 1391/2006 pentru aprobarea Regulamentului de aplicare a Ordonanței de Urgență a Guvernului nr. 195/2002 privind circulația pe drumurile publice;</w:t>
      </w:r>
    </w:p>
    <w:p w14:paraId="0226E3FF" w14:textId="77777777" w:rsidR="00363BD8" w:rsidRDefault="00363BD8" w:rsidP="00363BD8">
      <w:pPr>
        <w:pStyle w:val="BodyText"/>
        <w:numPr>
          <w:ilvl w:val="0"/>
          <w:numId w:val="1"/>
        </w:numPr>
        <w:tabs>
          <w:tab w:val="left" w:pos="709"/>
        </w:tabs>
        <w:spacing w:line="218" w:lineRule="auto"/>
        <w:ind w:firstLine="380"/>
        <w:jc w:val="both"/>
      </w:pPr>
      <w:bookmarkStart w:id="7" w:name="bookmark6"/>
      <w:bookmarkStart w:id="8" w:name="bookmark7"/>
      <w:bookmarkEnd w:id="7"/>
      <w:bookmarkEnd w:id="8"/>
      <w:r>
        <w:rPr>
          <w:color w:val="000000"/>
        </w:rPr>
        <w:t>Legea nr. 227/2015 privind Codul fiscal cu modificările și completările ulterioare.</w:t>
      </w:r>
    </w:p>
    <w:p w14:paraId="29054C95" w14:textId="77777777" w:rsidR="00363BD8" w:rsidRDefault="00363BD8" w:rsidP="00363BD8">
      <w:pPr>
        <w:pStyle w:val="BodyText"/>
        <w:tabs>
          <w:tab w:val="left" w:pos="709"/>
        </w:tabs>
        <w:spacing w:line="240" w:lineRule="auto"/>
        <w:ind w:left="380" w:firstLine="0"/>
        <w:jc w:val="both"/>
        <w:rPr>
          <w:color w:val="000000"/>
        </w:rPr>
      </w:pPr>
      <w:bookmarkStart w:id="9" w:name="bookmark8"/>
      <w:bookmarkEnd w:id="9"/>
    </w:p>
    <w:p w14:paraId="4B57CAA5" w14:textId="77777777" w:rsidR="00363BD8" w:rsidRDefault="00363BD8" w:rsidP="00363BD8">
      <w:pPr>
        <w:pStyle w:val="BodyText"/>
        <w:tabs>
          <w:tab w:val="left" w:pos="709"/>
        </w:tabs>
        <w:spacing w:line="240" w:lineRule="auto"/>
        <w:ind w:left="380" w:firstLine="0"/>
        <w:jc w:val="both"/>
      </w:pPr>
    </w:p>
    <w:p w14:paraId="0205F69C" w14:textId="77777777" w:rsidR="00363BD8" w:rsidRPr="00756481" w:rsidRDefault="00363BD8" w:rsidP="00363BD8">
      <w:pPr>
        <w:pStyle w:val="Heading11"/>
        <w:keepNext/>
        <w:keepLines/>
        <w:spacing w:after="0" w:line="240" w:lineRule="auto"/>
        <w:ind w:firstLine="760"/>
        <w:rPr>
          <w:i/>
          <w:color w:val="000000"/>
        </w:rPr>
      </w:pPr>
      <w:bookmarkStart w:id="10" w:name="bookmark10"/>
      <w:bookmarkStart w:id="11" w:name="bookmark11"/>
      <w:bookmarkStart w:id="12" w:name="bookmark9"/>
      <w:r w:rsidRPr="00756481">
        <w:rPr>
          <w:i/>
          <w:color w:val="000000"/>
        </w:rPr>
        <w:t>Art. 2 - Domeniu de aplicare</w:t>
      </w:r>
      <w:bookmarkEnd w:id="10"/>
      <w:bookmarkEnd w:id="11"/>
      <w:bookmarkEnd w:id="12"/>
    </w:p>
    <w:p w14:paraId="39D269E8" w14:textId="77777777" w:rsidR="00363BD8" w:rsidRPr="002D2EDE" w:rsidRDefault="00363BD8" w:rsidP="00363BD8">
      <w:pPr>
        <w:pStyle w:val="Heading11"/>
        <w:keepNext/>
        <w:keepLines/>
        <w:spacing w:after="0" w:line="240" w:lineRule="auto"/>
        <w:ind w:firstLine="760"/>
        <w:rPr>
          <w:rFonts w:asciiTheme="majorHAnsi" w:hAnsiTheme="majorHAnsi"/>
          <w:i/>
        </w:rPr>
      </w:pPr>
    </w:p>
    <w:p w14:paraId="5835BBB4" w14:textId="77777777" w:rsidR="00363BD8" w:rsidRDefault="00363BD8" w:rsidP="00363BD8">
      <w:pPr>
        <w:pStyle w:val="BodyText"/>
        <w:tabs>
          <w:tab w:val="left" w:pos="1422"/>
        </w:tabs>
        <w:spacing w:line="240" w:lineRule="auto"/>
        <w:ind w:firstLine="0"/>
        <w:jc w:val="both"/>
      </w:pPr>
      <w:r w:rsidRPr="002D2EDE">
        <w:rPr>
          <w:rFonts w:asciiTheme="majorHAnsi" w:hAnsiTheme="majorHAnsi"/>
          <w:i w:val="0"/>
        </w:rPr>
        <w:t>Comuna Cârcea stabilește modul de utilizare, taxare și exploatare al stațiilor electrice de încărcare a autoturismelor</w:t>
      </w:r>
      <w:r w:rsidRPr="000A7EAD">
        <w:rPr>
          <w:color w:val="000000"/>
        </w:rPr>
        <w:t xml:space="preserve"> </w:t>
      </w:r>
      <w:r>
        <w:rPr>
          <w:color w:val="000000"/>
        </w:rPr>
        <w:t xml:space="preserve">electrice/hibride </w:t>
      </w:r>
      <w:r w:rsidR="00A672C4">
        <w:rPr>
          <w:color w:val="000000"/>
        </w:rPr>
        <w:t xml:space="preserve">plug-in </w:t>
      </w:r>
      <w:r>
        <w:rPr>
          <w:color w:val="000000"/>
        </w:rPr>
        <w:t>aflate în proprietate.</w:t>
      </w:r>
    </w:p>
    <w:p w14:paraId="206ED1BE" w14:textId="77777777" w:rsidR="00363BD8" w:rsidRDefault="00363BD8" w:rsidP="00363BD8">
      <w:pPr>
        <w:pStyle w:val="BodyText"/>
        <w:numPr>
          <w:ilvl w:val="0"/>
          <w:numId w:val="2"/>
        </w:numPr>
        <w:tabs>
          <w:tab w:val="left" w:pos="1427"/>
        </w:tabs>
        <w:spacing w:line="240" w:lineRule="auto"/>
        <w:ind w:firstLine="740"/>
        <w:jc w:val="both"/>
      </w:pPr>
      <w:r>
        <w:rPr>
          <w:color w:val="000000"/>
        </w:rPr>
        <w:t>Comuna Cârcea are responsabilitatea de a realiza programe privind reducerea emisiilor de gaze cu efect de seră în transporturi promovând infrastructura pentru vehiculele de transport rutier nepoluant din punct de vedere energetic.</w:t>
      </w:r>
    </w:p>
    <w:p w14:paraId="56712855" w14:textId="77777777" w:rsidR="00363BD8" w:rsidRPr="002D2EDE" w:rsidRDefault="00363BD8" w:rsidP="00363BD8">
      <w:pPr>
        <w:pStyle w:val="BodyText"/>
        <w:numPr>
          <w:ilvl w:val="0"/>
          <w:numId w:val="2"/>
        </w:numPr>
        <w:tabs>
          <w:tab w:val="left" w:pos="1427"/>
        </w:tabs>
        <w:spacing w:line="240" w:lineRule="auto"/>
        <w:ind w:firstLine="740"/>
        <w:jc w:val="both"/>
      </w:pPr>
      <w:r w:rsidRPr="002D2EDE">
        <w:t>Reîncărcarea acumulatorilor autoturismelor electrice nu este considerată furnizare de energie (conform reglementărilor în vigoare) ci un serviciu pus la dispoziția posesorilor de autovehicule electrice.</w:t>
      </w:r>
    </w:p>
    <w:p w14:paraId="4E253B91" w14:textId="77777777" w:rsidR="00363BD8" w:rsidRPr="002D2EDE" w:rsidRDefault="00363BD8" w:rsidP="00363BD8">
      <w:pPr>
        <w:pStyle w:val="BodyText"/>
        <w:numPr>
          <w:ilvl w:val="0"/>
          <w:numId w:val="2"/>
        </w:numPr>
        <w:tabs>
          <w:tab w:val="left" w:pos="1427"/>
        </w:tabs>
        <w:spacing w:line="223" w:lineRule="auto"/>
        <w:ind w:firstLine="740"/>
        <w:jc w:val="both"/>
      </w:pPr>
      <w:r w:rsidRPr="002D2EDE">
        <w:rPr>
          <w:color w:val="000000"/>
        </w:rPr>
        <w:t>Stațiile de alimentare a autoturismelor electrice au fost puse la dispoziție pentru a încuraja protejarea mediului</w:t>
      </w:r>
      <w:bookmarkStart w:id="13" w:name="bookmark16"/>
      <w:bookmarkEnd w:id="13"/>
      <w:r>
        <w:rPr>
          <w:color w:val="000000"/>
        </w:rPr>
        <w:t>.</w:t>
      </w:r>
    </w:p>
    <w:p w14:paraId="056AF8BB" w14:textId="77777777" w:rsidR="00363BD8" w:rsidRPr="00684A06" w:rsidRDefault="00363BD8" w:rsidP="00E1149A">
      <w:pPr>
        <w:pStyle w:val="BodyText"/>
        <w:numPr>
          <w:ilvl w:val="0"/>
          <w:numId w:val="2"/>
        </w:numPr>
        <w:tabs>
          <w:tab w:val="left" w:pos="1427"/>
        </w:tabs>
        <w:spacing w:line="223" w:lineRule="auto"/>
        <w:ind w:firstLine="740"/>
        <w:jc w:val="both"/>
      </w:pPr>
      <w:r w:rsidRPr="002D2EDE">
        <w:rPr>
          <w:color w:val="000000"/>
        </w:rPr>
        <w:t>Punctele publice de reîncărcare a autoturismelor electrice respectă specificațiile tehnice și cerințele de dotare prevăzute în Legea nr. 34/2017 privind instalarea infrastructurii pentru combustibili alternativi, Standardul IEC 61851, precum și regulile privind siguranța și igiena muncii, prevenirea și stingerea incendiilor și protecția mediului.</w:t>
      </w:r>
    </w:p>
    <w:p w14:paraId="73D4C33F" w14:textId="288A6DE5" w:rsidR="00363BD8" w:rsidRDefault="00363BD8" w:rsidP="00E1149A">
      <w:pPr>
        <w:pStyle w:val="BodyText"/>
        <w:numPr>
          <w:ilvl w:val="0"/>
          <w:numId w:val="2"/>
        </w:numPr>
        <w:tabs>
          <w:tab w:val="left" w:pos="1427"/>
        </w:tabs>
        <w:spacing w:line="223" w:lineRule="auto"/>
        <w:ind w:firstLine="740"/>
        <w:jc w:val="both"/>
      </w:pPr>
      <w:r w:rsidRPr="00684A06">
        <w:rPr>
          <w:color w:val="000000"/>
        </w:rPr>
        <w:t xml:space="preserve"> </w:t>
      </w:r>
      <w:r>
        <w:rPr>
          <w:color w:val="000000"/>
        </w:rPr>
        <w:t>Regulamentul privind utilizarea stațiilor de încărcare electrică a autoturismelor electrice/hibride</w:t>
      </w:r>
      <w:r w:rsidR="002223EC">
        <w:rPr>
          <w:color w:val="000000"/>
        </w:rPr>
        <w:t xml:space="preserve"> plug-in </w:t>
      </w:r>
      <w:r>
        <w:rPr>
          <w:color w:val="000000"/>
        </w:rPr>
        <w:t xml:space="preserve"> aflate în proprietatea comunei Cârcea  are scopul de a promova utilizarea vehiculelor electrice/hibride </w:t>
      </w:r>
      <w:r w:rsidR="0069673C">
        <w:rPr>
          <w:color w:val="000000"/>
        </w:rPr>
        <w:t xml:space="preserve">plug-in </w:t>
      </w:r>
      <w:r>
        <w:rPr>
          <w:color w:val="000000"/>
        </w:rPr>
        <w:t>și de a asigura un cadru adecvat și securizat pentru utilizatorii acestora.</w:t>
      </w:r>
    </w:p>
    <w:p w14:paraId="44533342" w14:textId="77777777" w:rsidR="00363BD8" w:rsidRDefault="00363BD8" w:rsidP="00363BD8">
      <w:pPr>
        <w:pStyle w:val="Heading11"/>
        <w:keepNext/>
        <w:keepLines/>
        <w:spacing w:after="300" w:line="223" w:lineRule="auto"/>
        <w:jc w:val="both"/>
      </w:pPr>
      <w:bookmarkStart w:id="14" w:name="bookmark19"/>
      <w:bookmarkStart w:id="15" w:name="bookmark20"/>
      <w:bookmarkStart w:id="16" w:name="bookmark21"/>
      <w:r>
        <w:rPr>
          <w:color w:val="000000"/>
        </w:rPr>
        <w:lastRenderedPageBreak/>
        <w:t>Capitolul II - Cerințe și criterii</w:t>
      </w:r>
      <w:bookmarkEnd w:id="14"/>
      <w:bookmarkEnd w:id="15"/>
      <w:bookmarkEnd w:id="16"/>
    </w:p>
    <w:p w14:paraId="46E2500E" w14:textId="54AFB037" w:rsidR="00363BD8" w:rsidRDefault="00363BD8" w:rsidP="00363BD8">
      <w:pPr>
        <w:pStyle w:val="BodyText"/>
        <w:spacing w:after="300" w:line="221" w:lineRule="auto"/>
        <w:ind w:firstLine="740"/>
        <w:jc w:val="both"/>
      </w:pPr>
      <w:r>
        <w:rPr>
          <w:b/>
          <w:bCs/>
          <w:color w:val="000000"/>
          <w:sz w:val="30"/>
          <w:szCs w:val="30"/>
        </w:rPr>
        <w:t xml:space="preserve">Art. 3 </w:t>
      </w:r>
      <w:r>
        <w:rPr>
          <w:color w:val="000000"/>
        </w:rPr>
        <w:t>Stațiile de încărcare sunt disponibile pentru orice proprietar sau utilizator de vehicul elect</w:t>
      </w:r>
      <w:r w:rsidR="0015191B">
        <w:rPr>
          <w:color w:val="000000"/>
        </w:rPr>
        <w:t xml:space="preserve">ric/hibri plug-in, </w:t>
      </w:r>
      <w:r>
        <w:rPr>
          <w:color w:val="000000"/>
        </w:rPr>
        <w:t>, indiferent de marcă, model sau tip</w:t>
      </w:r>
      <w:r w:rsidR="002F6139">
        <w:rPr>
          <w:color w:val="000000"/>
        </w:rPr>
        <w:t>, cat timp producatorului masinii permite acest tip de incarcare.</w:t>
      </w:r>
      <w:r>
        <w:rPr>
          <w:color w:val="000000"/>
        </w:rPr>
        <w:t xml:space="preserve"> Accesul la stațiile de încărcare este permis permanent</w:t>
      </w:r>
      <w:r w:rsidR="002F6139">
        <w:rPr>
          <w:color w:val="000000"/>
        </w:rPr>
        <w:t>.</w:t>
      </w:r>
    </w:p>
    <w:p w14:paraId="73260432" w14:textId="77777777" w:rsidR="00363BD8" w:rsidRDefault="00363BD8" w:rsidP="00363BD8">
      <w:pPr>
        <w:pStyle w:val="BodyText"/>
        <w:spacing w:line="216" w:lineRule="auto"/>
        <w:ind w:firstLine="740"/>
        <w:jc w:val="both"/>
      </w:pPr>
      <w:r>
        <w:rPr>
          <w:b/>
          <w:bCs/>
          <w:color w:val="000000"/>
          <w:sz w:val="30"/>
          <w:szCs w:val="30"/>
        </w:rPr>
        <w:t xml:space="preserve">Art. 4 </w:t>
      </w:r>
      <w:r>
        <w:rPr>
          <w:color w:val="000000"/>
        </w:rPr>
        <w:t>Obligațiile beneficiarului sunt:</w:t>
      </w:r>
    </w:p>
    <w:p w14:paraId="147BED93" w14:textId="77777777" w:rsidR="00363BD8" w:rsidRDefault="00363BD8" w:rsidP="00363BD8">
      <w:pPr>
        <w:pStyle w:val="BodyText"/>
        <w:numPr>
          <w:ilvl w:val="0"/>
          <w:numId w:val="3"/>
        </w:numPr>
        <w:tabs>
          <w:tab w:val="left" w:pos="787"/>
        </w:tabs>
        <w:spacing w:line="216" w:lineRule="auto"/>
        <w:ind w:firstLine="440"/>
        <w:jc w:val="both"/>
      </w:pPr>
      <w:bookmarkStart w:id="17" w:name="bookmark22"/>
      <w:bookmarkEnd w:id="17"/>
      <w:r>
        <w:rPr>
          <w:color w:val="000000"/>
        </w:rPr>
        <w:t>Să respecte regulile de circulație rutieră;</w:t>
      </w:r>
    </w:p>
    <w:p w14:paraId="7155DA2B" w14:textId="77777777" w:rsidR="00363BD8" w:rsidRDefault="00363BD8" w:rsidP="00363BD8">
      <w:pPr>
        <w:pStyle w:val="BodyText"/>
        <w:numPr>
          <w:ilvl w:val="0"/>
          <w:numId w:val="3"/>
        </w:numPr>
        <w:tabs>
          <w:tab w:val="left" w:pos="744"/>
        </w:tabs>
        <w:spacing w:line="216" w:lineRule="auto"/>
        <w:ind w:firstLine="440"/>
        <w:jc w:val="both"/>
      </w:pPr>
      <w:bookmarkStart w:id="18" w:name="bookmark23"/>
      <w:bookmarkEnd w:id="18"/>
      <w:r>
        <w:rPr>
          <w:color w:val="000000"/>
        </w:rPr>
        <w:t>Să parcheze regulamentar, încadrat în spațiul destinat alimentării electrice și plug-in hibrid;</w:t>
      </w:r>
    </w:p>
    <w:p w14:paraId="059FA58D" w14:textId="77777777" w:rsidR="00363BD8" w:rsidRDefault="00363BD8" w:rsidP="00363BD8">
      <w:pPr>
        <w:pStyle w:val="BodyText"/>
        <w:numPr>
          <w:ilvl w:val="0"/>
          <w:numId w:val="3"/>
        </w:numPr>
        <w:tabs>
          <w:tab w:val="left" w:pos="744"/>
        </w:tabs>
        <w:spacing w:line="218" w:lineRule="auto"/>
        <w:ind w:firstLine="440"/>
        <w:jc w:val="both"/>
      </w:pPr>
      <w:bookmarkStart w:id="19" w:name="bookmark24"/>
      <w:bookmarkEnd w:id="19"/>
      <w:r>
        <w:rPr>
          <w:color w:val="000000"/>
        </w:rPr>
        <w:t>Să urmeze toți pașii procedurali prevăzuți de modul de încărcare specific fiecărui autovehicul electric și plug-in hibrid;</w:t>
      </w:r>
    </w:p>
    <w:p w14:paraId="589EC480" w14:textId="77777777" w:rsidR="00363BD8" w:rsidRDefault="00363BD8" w:rsidP="00363BD8">
      <w:pPr>
        <w:pStyle w:val="BodyText"/>
        <w:numPr>
          <w:ilvl w:val="0"/>
          <w:numId w:val="3"/>
        </w:numPr>
        <w:tabs>
          <w:tab w:val="left" w:pos="744"/>
        </w:tabs>
        <w:spacing w:line="218" w:lineRule="auto"/>
        <w:ind w:firstLine="360"/>
        <w:jc w:val="both"/>
      </w:pPr>
      <w:bookmarkStart w:id="20" w:name="bookmark25"/>
      <w:bookmarkEnd w:id="20"/>
      <w:r>
        <w:rPr>
          <w:color w:val="000000"/>
        </w:rPr>
        <w:t>Să acceseze instalația în conformitate specificațiile tehnice ce trebuie respectate pentru alimentarea electrică a autovehiculului;</w:t>
      </w:r>
    </w:p>
    <w:p w14:paraId="5DE537C4" w14:textId="77777777" w:rsidR="00363BD8" w:rsidRDefault="00363BD8" w:rsidP="00363BD8">
      <w:pPr>
        <w:pStyle w:val="BodyText"/>
        <w:numPr>
          <w:ilvl w:val="0"/>
          <w:numId w:val="3"/>
        </w:numPr>
        <w:tabs>
          <w:tab w:val="left" w:pos="744"/>
        </w:tabs>
        <w:spacing w:line="218" w:lineRule="auto"/>
        <w:ind w:firstLine="440"/>
        <w:jc w:val="both"/>
      </w:pPr>
      <w:bookmarkStart w:id="21" w:name="bookmark26"/>
      <w:bookmarkEnd w:id="21"/>
      <w:r>
        <w:rPr>
          <w:color w:val="000000"/>
        </w:rPr>
        <w:t>Să utilizeze stația în condiții de siguranță, pentru evitarea accidentelor și a avarierii autovehiculului;</w:t>
      </w:r>
    </w:p>
    <w:p w14:paraId="3D994F2B" w14:textId="577DA4F7" w:rsidR="00363BD8" w:rsidRDefault="005949CF" w:rsidP="00363BD8">
      <w:pPr>
        <w:pStyle w:val="BodyText"/>
        <w:numPr>
          <w:ilvl w:val="0"/>
          <w:numId w:val="3"/>
        </w:numPr>
        <w:tabs>
          <w:tab w:val="left" w:pos="351"/>
        </w:tabs>
        <w:spacing w:after="300" w:line="218" w:lineRule="auto"/>
        <w:ind w:firstLine="520"/>
        <w:jc w:val="both"/>
      </w:pPr>
      <w:bookmarkStart w:id="22" w:name="bookmark27"/>
      <w:bookmarkEnd w:id="22"/>
      <w:r>
        <w:rPr>
          <w:color w:val="000000"/>
        </w:rPr>
        <w:t xml:space="preserve"> </w:t>
      </w:r>
      <w:r w:rsidR="00363BD8">
        <w:rPr>
          <w:color w:val="000000"/>
        </w:rPr>
        <w:t>Pe timpul alimentării să monitorizeze autovehiculul în condiții de siguranță. După alimentare să așeze cablul în priză.</w:t>
      </w:r>
    </w:p>
    <w:p w14:paraId="3D7EECDA" w14:textId="77777777" w:rsidR="00363BD8" w:rsidRDefault="00363BD8" w:rsidP="00363BD8">
      <w:pPr>
        <w:pStyle w:val="BodyText"/>
        <w:spacing w:line="226" w:lineRule="auto"/>
        <w:ind w:firstLine="700"/>
        <w:jc w:val="both"/>
      </w:pPr>
      <w:r>
        <w:rPr>
          <w:b/>
          <w:bCs/>
          <w:color w:val="000000"/>
          <w:sz w:val="30"/>
          <w:szCs w:val="30"/>
        </w:rPr>
        <w:t xml:space="preserve">Art. 5 </w:t>
      </w:r>
      <w:r>
        <w:rPr>
          <w:color w:val="000000"/>
        </w:rPr>
        <w:t>Obligațiile Autorității Locale sunt:</w:t>
      </w:r>
    </w:p>
    <w:p w14:paraId="495144EE" w14:textId="77777777" w:rsidR="00363BD8" w:rsidRDefault="00363BD8" w:rsidP="00363BD8">
      <w:pPr>
        <w:pStyle w:val="BodyText"/>
        <w:numPr>
          <w:ilvl w:val="0"/>
          <w:numId w:val="4"/>
        </w:numPr>
        <w:tabs>
          <w:tab w:val="left" w:pos="710"/>
        </w:tabs>
        <w:spacing w:line="226" w:lineRule="auto"/>
        <w:ind w:firstLine="380"/>
        <w:jc w:val="both"/>
      </w:pPr>
      <w:bookmarkStart w:id="23" w:name="bookmark28"/>
      <w:bookmarkEnd w:id="23"/>
      <w:r>
        <w:rPr>
          <w:color w:val="000000"/>
        </w:rPr>
        <w:t>Asigura semnalizarea corespunzătoare și vizibilă a spațiului (marcajul realizat cu culoarea verde) în concordanță cu standardele europene și naționale în domeniu;</w:t>
      </w:r>
    </w:p>
    <w:p w14:paraId="4DCE4137" w14:textId="0A2E7997" w:rsidR="00363BD8" w:rsidRDefault="00363BD8" w:rsidP="00363BD8">
      <w:pPr>
        <w:pStyle w:val="BodyText"/>
        <w:numPr>
          <w:ilvl w:val="0"/>
          <w:numId w:val="4"/>
        </w:numPr>
        <w:tabs>
          <w:tab w:val="left" w:pos="770"/>
        </w:tabs>
        <w:spacing w:line="226" w:lineRule="auto"/>
        <w:ind w:firstLine="440"/>
        <w:jc w:val="both"/>
      </w:pPr>
      <w:bookmarkStart w:id="24" w:name="bookmark29"/>
      <w:bookmarkEnd w:id="24"/>
      <w:r>
        <w:rPr>
          <w:color w:val="000000"/>
        </w:rPr>
        <w:t>Pune la dipoziția cetățenilor, stațiile de alimentare a autovehiculelor electrice/hibride</w:t>
      </w:r>
      <w:r w:rsidR="005949CF">
        <w:rPr>
          <w:color w:val="000000"/>
        </w:rPr>
        <w:t xml:space="preserve"> plug-in</w:t>
      </w:r>
      <w:r>
        <w:rPr>
          <w:color w:val="000000"/>
        </w:rPr>
        <w:t>, în vederea reîncărcării acumulatorilor autovehiculelor electrice;</w:t>
      </w:r>
    </w:p>
    <w:p w14:paraId="717DD351" w14:textId="77777777" w:rsidR="00363BD8" w:rsidRDefault="00363BD8" w:rsidP="00363BD8">
      <w:pPr>
        <w:pStyle w:val="BodyText"/>
        <w:numPr>
          <w:ilvl w:val="0"/>
          <w:numId w:val="4"/>
        </w:numPr>
        <w:tabs>
          <w:tab w:val="left" w:pos="770"/>
        </w:tabs>
        <w:spacing w:after="620" w:line="226" w:lineRule="auto"/>
        <w:ind w:firstLine="440"/>
        <w:jc w:val="both"/>
      </w:pPr>
      <w:bookmarkStart w:id="25" w:name="bookmark30"/>
      <w:bookmarkStart w:id="26" w:name="bookmark31"/>
      <w:bookmarkEnd w:id="25"/>
      <w:bookmarkEnd w:id="26"/>
      <w:r>
        <w:rPr>
          <w:color w:val="000000"/>
        </w:rPr>
        <w:t xml:space="preserve">Orice defecțiune apărută la autovehicul în timpul alimentării sau după alimentare nu intră în responsabilitatea </w:t>
      </w:r>
      <w:r w:rsidRPr="009716E0">
        <w:t>comunei Cârcea.</w:t>
      </w:r>
    </w:p>
    <w:p w14:paraId="01ACDC5C" w14:textId="77777777" w:rsidR="002A72FF" w:rsidRDefault="002A72FF" w:rsidP="002A72FF">
      <w:pPr>
        <w:pStyle w:val="BodyText"/>
        <w:tabs>
          <w:tab w:val="left" w:pos="770"/>
        </w:tabs>
        <w:spacing w:after="620" w:line="226" w:lineRule="auto"/>
        <w:ind w:left="440" w:firstLine="0"/>
        <w:jc w:val="both"/>
      </w:pPr>
    </w:p>
    <w:p w14:paraId="0320C53D" w14:textId="77777777" w:rsidR="00363BD8" w:rsidRDefault="00363BD8" w:rsidP="00363BD8">
      <w:pPr>
        <w:pStyle w:val="Heading11"/>
        <w:keepNext/>
        <w:keepLines/>
        <w:spacing w:after="300" w:line="223" w:lineRule="auto"/>
        <w:ind w:firstLine="360"/>
        <w:jc w:val="both"/>
      </w:pPr>
      <w:bookmarkStart w:id="27" w:name="bookmark32"/>
      <w:bookmarkStart w:id="28" w:name="bookmark33"/>
      <w:bookmarkStart w:id="29" w:name="bookmark34"/>
      <w:r>
        <w:rPr>
          <w:color w:val="000000"/>
        </w:rPr>
        <w:t>Capitolul III - Utilizarea stațiilor de încărcare</w:t>
      </w:r>
      <w:bookmarkEnd w:id="27"/>
      <w:bookmarkEnd w:id="28"/>
      <w:bookmarkEnd w:id="29"/>
    </w:p>
    <w:p w14:paraId="1B3B5D8D" w14:textId="77777777" w:rsidR="00363BD8" w:rsidRDefault="00363BD8" w:rsidP="00363BD8">
      <w:pPr>
        <w:pStyle w:val="BodyText"/>
        <w:spacing w:line="223" w:lineRule="auto"/>
        <w:ind w:firstLine="760"/>
        <w:jc w:val="both"/>
        <w:rPr>
          <w:color w:val="000000"/>
        </w:rPr>
      </w:pPr>
      <w:r>
        <w:rPr>
          <w:b/>
          <w:bCs/>
          <w:color w:val="000000"/>
          <w:sz w:val="30"/>
          <w:szCs w:val="30"/>
        </w:rPr>
        <w:t xml:space="preserve">Art. 6 </w:t>
      </w:r>
      <w:r>
        <w:rPr>
          <w:color w:val="000000"/>
          <w:lang w:val="ro-RO"/>
        </w:rPr>
        <w:t>Î</w:t>
      </w:r>
      <w:r>
        <w:rPr>
          <w:color w:val="000000"/>
        </w:rPr>
        <w:t>nainte de conectarea vehiculului la stația de încărcare, utilizatorii trebuie să se asigure că vehiculul lor este compatibil cu stația de încărcare, să respecte instrucțiunile de utilizare afișate pe stația de încărcare și să se asigure că încărcarea poate fi realizată în condiții de siguranță.</w:t>
      </w:r>
    </w:p>
    <w:p w14:paraId="4F809A07" w14:textId="77777777" w:rsidR="00694A64" w:rsidRDefault="00694A64" w:rsidP="00DC1EFA">
      <w:pPr>
        <w:pStyle w:val="BodyText"/>
        <w:spacing w:line="223" w:lineRule="auto"/>
        <w:ind w:firstLine="0"/>
        <w:jc w:val="both"/>
        <w:rPr>
          <w:b/>
          <w:color w:val="000000"/>
          <w:sz w:val="30"/>
          <w:szCs w:val="30"/>
        </w:rPr>
      </w:pPr>
    </w:p>
    <w:p w14:paraId="13A1EB0B" w14:textId="405FAE3F" w:rsidR="00B1096D" w:rsidRPr="00694A64" w:rsidRDefault="00694A64" w:rsidP="00694A64">
      <w:pPr>
        <w:pStyle w:val="BodyText"/>
        <w:spacing w:line="223" w:lineRule="auto"/>
        <w:ind w:firstLine="760"/>
        <w:jc w:val="both"/>
        <w:rPr>
          <w:color w:val="FF0000"/>
        </w:rPr>
      </w:pPr>
      <w:r w:rsidRPr="007634B2">
        <w:rPr>
          <w:b/>
          <w:color w:val="000000"/>
          <w:sz w:val="30"/>
          <w:szCs w:val="30"/>
        </w:rPr>
        <w:t>Art.7</w:t>
      </w:r>
      <w:r>
        <w:rPr>
          <w:color w:val="000000"/>
        </w:rPr>
        <w:t xml:space="preserve">  Taxa specială pentru încărcarea autoturismelor electrice</w:t>
      </w:r>
      <w:r w:rsidRPr="00F8760B">
        <w:t>/hibride</w:t>
      </w:r>
      <w:r w:rsidR="00831599">
        <w:t xml:space="preserve"> </w:t>
      </w:r>
      <w:r w:rsidR="00831599" w:rsidRPr="00A06D93">
        <w:t xml:space="preserve">plug-in </w:t>
      </w:r>
      <w:r w:rsidRPr="00A06D93">
        <w:t xml:space="preserve"> </w:t>
      </w:r>
      <w:r>
        <w:rPr>
          <w:color w:val="000000"/>
        </w:rPr>
        <w:t xml:space="preserve">trebuie plătită </w:t>
      </w:r>
      <w:r w:rsidR="00A520AA">
        <w:t>conform instructiunilor de pe panoul de comandă al staţiei de încărcare.</w:t>
      </w:r>
    </w:p>
    <w:p w14:paraId="7DCD8489" w14:textId="77777777" w:rsidR="00E27CB3" w:rsidRDefault="00BC5D3B" w:rsidP="00694A64">
      <w:pPr>
        <w:pStyle w:val="BodyText"/>
        <w:tabs>
          <w:tab w:val="left" w:pos="1965"/>
        </w:tabs>
        <w:spacing w:after="220" w:line="290" w:lineRule="auto"/>
        <w:jc w:val="both"/>
      </w:pPr>
      <w:bookmarkStart w:id="30" w:name="bookmark58"/>
      <w:bookmarkStart w:id="31" w:name="bookmark59"/>
      <w:bookmarkEnd w:id="30"/>
      <w:bookmarkEnd w:id="31"/>
      <w:r w:rsidRPr="00362D9E">
        <w:t xml:space="preserve">      </w:t>
      </w:r>
      <w:r w:rsidR="00B1096D" w:rsidRPr="00362D9E">
        <w:t xml:space="preserve"> Proprietarul stației de încărcare percepe taxa de </w:t>
      </w:r>
      <w:r w:rsidR="00E52449" w:rsidRPr="00B516FA">
        <w:rPr>
          <w:b/>
        </w:rPr>
        <w:t>1</w:t>
      </w:r>
      <w:r w:rsidR="000902EE" w:rsidRPr="00B516FA">
        <w:rPr>
          <w:b/>
        </w:rPr>
        <w:t xml:space="preserve">,39 </w:t>
      </w:r>
      <w:r w:rsidRPr="00B516FA">
        <w:rPr>
          <w:b/>
        </w:rPr>
        <w:t xml:space="preserve"> </w:t>
      </w:r>
      <w:r w:rsidR="00A06D93">
        <w:rPr>
          <w:b/>
        </w:rPr>
        <w:t xml:space="preserve">lei </w:t>
      </w:r>
      <w:r w:rsidR="002F6139">
        <w:rPr>
          <w:b/>
        </w:rPr>
        <w:t xml:space="preserve">pentru fiecare </w:t>
      </w:r>
      <w:r w:rsidR="00A06D93">
        <w:rPr>
          <w:b/>
        </w:rPr>
        <w:t>kw</w:t>
      </w:r>
      <w:r w:rsidR="002F6139">
        <w:rPr>
          <w:b/>
        </w:rPr>
        <w:t xml:space="preserve"> folosit conform consumului din aplicatia de gestiune , </w:t>
      </w:r>
      <w:r w:rsidR="00B1096D" w:rsidRPr="00362D9E">
        <w:t xml:space="preserve"> pentru utilizar</w:t>
      </w:r>
      <w:r w:rsidR="00A56CA5">
        <w:t xml:space="preserve">ea stației de încărcare. </w:t>
      </w:r>
    </w:p>
    <w:p w14:paraId="45C2B912" w14:textId="506275E7" w:rsidR="00B1096D" w:rsidRDefault="00A56CA5" w:rsidP="00694A64">
      <w:pPr>
        <w:pStyle w:val="BodyText"/>
        <w:tabs>
          <w:tab w:val="left" w:pos="1965"/>
        </w:tabs>
        <w:spacing w:after="220" w:line="290" w:lineRule="auto"/>
        <w:jc w:val="both"/>
      </w:pPr>
      <w:r>
        <w:t>Taxa</w:t>
      </w:r>
      <w:r w:rsidR="00B1096D" w:rsidRPr="00362D9E">
        <w:t xml:space="preserve"> pentru încărcare trebuie afișat</w:t>
      </w:r>
      <w:r>
        <w:t>ă</w:t>
      </w:r>
      <w:r w:rsidR="00B1096D" w:rsidRPr="00362D9E">
        <w:t xml:space="preserve"> în mod clar </w:t>
      </w:r>
      <w:r w:rsidR="00472302">
        <w:t>pe aplicatia de ges</w:t>
      </w:r>
      <w:r w:rsidR="002F6139">
        <w:t xml:space="preserve">tiune a </w:t>
      </w:r>
      <w:r w:rsidR="00B1096D" w:rsidRPr="00362D9E">
        <w:t>stați</w:t>
      </w:r>
      <w:r w:rsidR="002F6139">
        <w:t>ei</w:t>
      </w:r>
      <w:r w:rsidR="00B1096D" w:rsidRPr="00362D9E">
        <w:t xml:space="preserve"> de încărcare, iar utilizatorii t</w:t>
      </w:r>
      <w:r w:rsidR="001E53FA">
        <w:t xml:space="preserve">rebuie să plătească acest taxă </w:t>
      </w:r>
      <w:r w:rsidR="00E52449">
        <w:t xml:space="preserve"> </w:t>
      </w:r>
      <w:r w:rsidR="00A520AA">
        <w:t>.</w:t>
      </w:r>
    </w:p>
    <w:p w14:paraId="4B90649E" w14:textId="4CA9A341" w:rsidR="00EE0202" w:rsidRDefault="009C5BD8" w:rsidP="00694A64">
      <w:pPr>
        <w:pStyle w:val="BodyText"/>
        <w:tabs>
          <w:tab w:val="left" w:pos="1965"/>
        </w:tabs>
        <w:spacing w:after="220" w:line="290" w:lineRule="auto"/>
        <w:jc w:val="both"/>
      </w:pPr>
      <w:r>
        <w:t xml:space="preserve">Pentru o corectă administrare şi corelare a politicilor locale de susţinere a mobilităţii verzi/nepoluante cu politicile europene incidente, se impune introducerea unei taxe speciale de utilizare ( de reîncărcare ) calculat pe baza preţului energiei electrice contractat / plafonat ( cu TVA inclus ) , a costului mentenanţei platformei de plăţi </w:t>
      </w:r>
      <w:r w:rsidR="00805D06">
        <w:t xml:space="preserve">( cu TVA inclus ) şi a costului mentenanţei staţiilor de reîncărcare ( cu TVA inclus ) conform contractelor de mentenanţă în vigoare.  Taxa specială poate </w:t>
      </w:r>
      <w:r w:rsidR="00805D06">
        <w:lastRenderedPageBreak/>
        <w:t>varia, aceasta adaptându-se la fluctuaţiile pieţei de energie, respectiv la toate elementele de cost ce intră în componenţa taxei speciale , în cazul în care aceasta se modifică, ţinând cont că fac obiectul unor proceduri de achiziţie publică.</w:t>
      </w:r>
    </w:p>
    <w:p w14:paraId="7F251528" w14:textId="3EA93E73" w:rsidR="00805D06" w:rsidRDefault="00805D06" w:rsidP="00694A64">
      <w:pPr>
        <w:pStyle w:val="BodyText"/>
        <w:tabs>
          <w:tab w:val="left" w:pos="1965"/>
        </w:tabs>
        <w:spacing w:after="220" w:line="290" w:lineRule="auto"/>
        <w:jc w:val="both"/>
      </w:pPr>
      <w:r>
        <w:t xml:space="preserve">Taxa specială de utilizare a staţiei de reîncărcare poate fi actualizată </w:t>
      </w:r>
      <w:r w:rsidR="00C172EB">
        <w:t xml:space="preserve">de către autoritatea executivă în funcţie de </w:t>
      </w:r>
      <w:r w:rsidR="00463170">
        <w:t xml:space="preserve">politica adoptată de proprietarul staţiei de încărcare şi va fi adus la cunoştinţa publicului </w:t>
      </w:r>
      <w:r w:rsidR="00E27CB3">
        <w:t>cu cel puţin 90 de zile calendaristice înainte de data actualizării taxei speciale.</w:t>
      </w:r>
    </w:p>
    <w:p w14:paraId="6E890FE0" w14:textId="77777777" w:rsidR="00186D84" w:rsidRDefault="00186D84" w:rsidP="001A3588">
      <w:pPr>
        <w:pStyle w:val="BodyText"/>
        <w:spacing w:line="223" w:lineRule="auto"/>
        <w:ind w:firstLine="760"/>
        <w:jc w:val="both"/>
      </w:pPr>
      <w:bookmarkStart w:id="32" w:name="bookmark60"/>
      <w:bookmarkEnd w:id="32"/>
    </w:p>
    <w:p w14:paraId="4F630801" w14:textId="6455CAAA" w:rsidR="00362D9E" w:rsidRDefault="007634B2" w:rsidP="001A3588">
      <w:pPr>
        <w:pStyle w:val="BodyText"/>
        <w:spacing w:line="223" w:lineRule="auto"/>
        <w:ind w:firstLine="760"/>
        <w:jc w:val="both"/>
        <w:rPr>
          <w:color w:val="000000"/>
          <w:lang w:val="ro-RO"/>
        </w:rPr>
      </w:pPr>
      <w:r>
        <w:rPr>
          <w:b/>
          <w:color w:val="000000"/>
          <w:sz w:val="30"/>
          <w:szCs w:val="30"/>
        </w:rPr>
        <w:t>Art  8</w:t>
      </w:r>
      <w:r w:rsidR="00363BD8">
        <w:rPr>
          <w:color w:val="000000"/>
        </w:rPr>
        <w:t xml:space="preserve">  </w:t>
      </w:r>
      <w:r w:rsidR="006D3DD8" w:rsidRPr="006D3DD8">
        <w:t>Sunt două modali</w:t>
      </w:r>
      <w:r w:rsidR="006D3DD8">
        <w:t xml:space="preserve">ati de plată : </w:t>
      </w:r>
      <w:r w:rsidR="00A0401E">
        <w:t xml:space="preserve">plata </w:t>
      </w:r>
      <w:r w:rsidR="006D3DD8" w:rsidRPr="00362D9E">
        <w:t>cu cardul personal sau cu creditul asociat contului d</w:t>
      </w:r>
      <w:r w:rsidR="00A0401E">
        <w:t>in aplicatie</w:t>
      </w:r>
      <w:r w:rsidR="006D3DD8">
        <w:rPr>
          <w:color w:val="000000"/>
        </w:rPr>
        <w:t xml:space="preserve">. </w:t>
      </w:r>
      <w:r w:rsidR="00363BD8">
        <w:rPr>
          <w:color w:val="000000"/>
        </w:rPr>
        <w:t>Plata pentru încărcare se realizează prin servicii de plată on-line - servicii de acces și facilitare a plăților folosind instrumente de plată electronică de tipul: card bancar</w:t>
      </w:r>
      <w:r w:rsidR="00694A64">
        <w:rPr>
          <w:color w:val="000000"/>
        </w:rPr>
        <w:t xml:space="preserve"> / card bancar </w:t>
      </w:r>
      <w:r w:rsidR="00363BD8">
        <w:rPr>
          <w:color w:val="000000"/>
        </w:rPr>
        <w:t xml:space="preserve"> înrolat în aplicația </w:t>
      </w:r>
      <w:r w:rsidR="00363BD8">
        <w:rPr>
          <w:color w:val="000000"/>
          <w:lang w:val="ro-RO"/>
        </w:rPr>
        <w:t>aferentă stației de încărcare</w:t>
      </w:r>
      <w:r w:rsidR="00B05CF7">
        <w:rPr>
          <w:color w:val="000000"/>
          <w:lang w:val="ro-RO"/>
        </w:rPr>
        <w:t>.</w:t>
      </w:r>
    </w:p>
    <w:p w14:paraId="2536DF96" w14:textId="77777777" w:rsidR="00116A37" w:rsidRDefault="00116A37" w:rsidP="001A3588">
      <w:pPr>
        <w:pStyle w:val="BodyText"/>
        <w:spacing w:line="223" w:lineRule="auto"/>
        <w:ind w:firstLine="760"/>
        <w:jc w:val="both"/>
        <w:rPr>
          <w:color w:val="000000"/>
          <w:lang w:val="ro-RO"/>
        </w:rPr>
      </w:pPr>
    </w:p>
    <w:p w14:paraId="452C536F" w14:textId="77777777" w:rsidR="00116A37" w:rsidRPr="00A31624" w:rsidRDefault="00116A37" w:rsidP="001A3588">
      <w:pPr>
        <w:pStyle w:val="BodyText"/>
        <w:spacing w:line="223" w:lineRule="auto"/>
        <w:ind w:firstLine="760"/>
        <w:jc w:val="both"/>
        <w:rPr>
          <w:color w:val="000000"/>
          <w:lang w:val="ro-RO"/>
        </w:rPr>
      </w:pPr>
    </w:p>
    <w:p w14:paraId="5089B046" w14:textId="4A4CBD17" w:rsidR="00363BD8" w:rsidRDefault="007634B2" w:rsidP="00363BD8">
      <w:pPr>
        <w:pStyle w:val="BodyText"/>
        <w:spacing w:line="223" w:lineRule="auto"/>
        <w:ind w:firstLine="720"/>
        <w:jc w:val="both"/>
      </w:pPr>
      <w:r>
        <w:rPr>
          <w:b/>
          <w:bCs/>
          <w:color w:val="000000"/>
          <w:sz w:val="30"/>
          <w:szCs w:val="30"/>
        </w:rPr>
        <w:t>Art. 9</w:t>
      </w:r>
      <w:r w:rsidR="00363BD8">
        <w:rPr>
          <w:b/>
          <w:bCs/>
          <w:color w:val="000000"/>
          <w:sz w:val="30"/>
          <w:szCs w:val="30"/>
        </w:rPr>
        <w:t xml:space="preserve"> </w:t>
      </w:r>
      <w:r w:rsidR="00363BD8" w:rsidRPr="00030388">
        <w:rPr>
          <w:color w:val="000000"/>
        </w:rPr>
        <w:t>Modul de plată cont în aplicație</w:t>
      </w:r>
      <w:r w:rsidR="00363BD8">
        <w:rPr>
          <w:color w:val="000000"/>
        </w:rPr>
        <w:t xml:space="preserve"> presupune utilizarea aplicației dedicate care permite utilizatorilor să își conecteze contul în aplicație cu stația de încărcare electrică</w:t>
      </w:r>
      <w:r w:rsidR="00A0401E">
        <w:rPr>
          <w:color w:val="000000"/>
        </w:rPr>
        <w:t xml:space="preserve"> </w:t>
      </w:r>
      <w:r w:rsidR="00BC5D3B">
        <w:rPr>
          <w:color w:val="000000"/>
        </w:rPr>
        <w:t>.</w:t>
      </w:r>
      <w:r w:rsidR="00B05CF7" w:rsidRPr="00362D9E">
        <w:t>Modalitatea de plată prin Credit, se crează în aplicație cont de utilizator care se alimentează cu suma depusă de client.</w:t>
      </w:r>
    </w:p>
    <w:p w14:paraId="2E889CA2" w14:textId="77777777" w:rsidR="00C05ACA" w:rsidRPr="00362D9E" w:rsidRDefault="00C05ACA" w:rsidP="00363BD8">
      <w:pPr>
        <w:pStyle w:val="BodyText"/>
        <w:spacing w:line="223" w:lineRule="auto"/>
        <w:ind w:firstLine="720"/>
        <w:jc w:val="both"/>
      </w:pPr>
    </w:p>
    <w:p w14:paraId="4D3C5D4C" w14:textId="3EA6D24C" w:rsidR="00B1096D" w:rsidRDefault="007634B2" w:rsidP="00363BD8">
      <w:pPr>
        <w:pStyle w:val="BodyText"/>
        <w:spacing w:line="223" w:lineRule="auto"/>
        <w:ind w:firstLine="760"/>
        <w:jc w:val="both"/>
        <w:rPr>
          <w:color w:val="000000"/>
        </w:rPr>
      </w:pPr>
      <w:r>
        <w:rPr>
          <w:b/>
          <w:bCs/>
          <w:color w:val="000000"/>
          <w:sz w:val="30"/>
          <w:szCs w:val="30"/>
        </w:rPr>
        <w:t>Art.10</w:t>
      </w:r>
      <w:r w:rsidR="00363BD8">
        <w:rPr>
          <w:b/>
          <w:bCs/>
          <w:color w:val="000000"/>
          <w:sz w:val="30"/>
          <w:szCs w:val="30"/>
        </w:rPr>
        <w:t xml:space="preserve"> </w:t>
      </w:r>
      <w:r w:rsidR="00363BD8">
        <w:rPr>
          <w:color w:val="000000"/>
        </w:rPr>
        <w:t xml:space="preserve">Pentru a plăti prin cont în aplicație, utilizatorul trebuie </w:t>
      </w:r>
      <w:r w:rsidR="002F028B">
        <w:rPr>
          <w:color w:val="000000"/>
        </w:rPr>
        <w:t xml:space="preserve">să </w:t>
      </w:r>
      <w:r w:rsidR="00363BD8">
        <w:rPr>
          <w:color w:val="000000"/>
        </w:rPr>
        <w:t>descarce aplicația din magazinele virtuale App Store sau Google Play . Se va crea un cont de utilizator , iar contravaloarea încărcării se va achita prin utilizarea card</w:t>
      </w:r>
      <w:r w:rsidR="00B1096D">
        <w:rPr>
          <w:color w:val="000000"/>
        </w:rPr>
        <w:t xml:space="preserve">ului bancar </w:t>
      </w:r>
      <w:r w:rsidR="00363BD8">
        <w:rPr>
          <w:color w:val="000000"/>
        </w:rPr>
        <w:t xml:space="preserve">. </w:t>
      </w:r>
    </w:p>
    <w:p w14:paraId="49EDB8FC" w14:textId="77777777" w:rsidR="00C05ACA" w:rsidRDefault="00C05ACA" w:rsidP="00363BD8">
      <w:pPr>
        <w:pStyle w:val="BodyText"/>
        <w:spacing w:line="223" w:lineRule="auto"/>
        <w:ind w:firstLine="760"/>
        <w:jc w:val="both"/>
        <w:rPr>
          <w:color w:val="000000"/>
        </w:rPr>
      </w:pPr>
    </w:p>
    <w:p w14:paraId="1FD40DB8" w14:textId="77777777" w:rsidR="00363BD8" w:rsidRDefault="00363BD8" w:rsidP="00363BD8">
      <w:pPr>
        <w:pStyle w:val="BodyText"/>
        <w:spacing w:line="223" w:lineRule="auto"/>
        <w:ind w:firstLine="760"/>
        <w:jc w:val="both"/>
        <w:rPr>
          <w:color w:val="000000"/>
        </w:rPr>
      </w:pPr>
      <w:r>
        <w:rPr>
          <w:color w:val="000000"/>
        </w:rPr>
        <w:t>După aceea, utilizatorul poate selecta stația de încărcare pe care dorește să o folosească și să înceapă încărcarea vehiculului.</w:t>
      </w:r>
    </w:p>
    <w:p w14:paraId="3FDE75FC" w14:textId="77777777" w:rsidR="00C05ACA" w:rsidRDefault="00C05ACA" w:rsidP="00363BD8">
      <w:pPr>
        <w:pStyle w:val="BodyText"/>
        <w:spacing w:line="223" w:lineRule="auto"/>
        <w:ind w:firstLine="760"/>
        <w:jc w:val="both"/>
        <w:rPr>
          <w:b/>
          <w:bCs/>
          <w:color w:val="000000"/>
          <w:sz w:val="30"/>
          <w:szCs w:val="30"/>
        </w:rPr>
      </w:pPr>
    </w:p>
    <w:p w14:paraId="251F0EE8" w14:textId="77777777" w:rsidR="00363BD8" w:rsidRDefault="007634B2" w:rsidP="00440EB6">
      <w:pPr>
        <w:pStyle w:val="BodyText"/>
        <w:spacing w:line="223" w:lineRule="auto"/>
        <w:ind w:firstLine="760"/>
        <w:jc w:val="both"/>
        <w:rPr>
          <w:color w:val="000000"/>
        </w:rPr>
      </w:pPr>
      <w:r>
        <w:rPr>
          <w:b/>
          <w:bCs/>
          <w:color w:val="000000"/>
          <w:sz w:val="30"/>
          <w:szCs w:val="30"/>
        </w:rPr>
        <w:t>Art.11</w:t>
      </w:r>
      <w:r w:rsidR="00363BD8">
        <w:rPr>
          <w:b/>
          <w:bCs/>
          <w:color w:val="000000"/>
          <w:sz w:val="30"/>
          <w:szCs w:val="30"/>
        </w:rPr>
        <w:t xml:space="preserve"> </w:t>
      </w:r>
      <w:r w:rsidR="00363BD8">
        <w:rPr>
          <w:color w:val="000000"/>
        </w:rPr>
        <w:t>După finalizarea încărcării, utilizatorii trebuie să deconecteze vehiculul și să elibereze stația de încărcare pentru alți utilizatori.</w:t>
      </w:r>
    </w:p>
    <w:p w14:paraId="5461279A" w14:textId="77777777" w:rsidR="00C05ACA" w:rsidRPr="00440EB6" w:rsidRDefault="00C05ACA" w:rsidP="00440EB6">
      <w:pPr>
        <w:pStyle w:val="BodyText"/>
        <w:spacing w:line="223" w:lineRule="auto"/>
        <w:ind w:firstLine="760"/>
        <w:jc w:val="both"/>
      </w:pPr>
    </w:p>
    <w:p w14:paraId="338BA390" w14:textId="77777777" w:rsidR="00363BD8" w:rsidRPr="00B15FBA" w:rsidRDefault="007634B2" w:rsidP="00363BD8">
      <w:pPr>
        <w:pStyle w:val="BodyText"/>
        <w:spacing w:after="160" w:line="223" w:lineRule="auto"/>
        <w:ind w:firstLine="760"/>
        <w:jc w:val="both"/>
      </w:pPr>
      <w:r>
        <w:rPr>
          <w:b/>
          <w:bCs/>
          <w:sz w:val="30"/>
          <w:szCs w:val="30"/>
        </w:rPr>
        <w:t>Art. 12</w:t>
      </w:r>
      <w:r w:rsidR="00363BD8" w:rsidRPr="00B15FBA">
        <w:rPr>
          <w:b/>
          <w:bCs/>
          <w:sz w:val="30"/>
          <w:szCs w:val="30"/>
        </w:rPr>
        <w:t xml:space="preserve"> </w:t>
      </w:r>
      <w:r w:rsidR="00363BD8" w:rsidRPr="00B15FBA">
        <w:t>In cazul în care utilizatorii întâmpină probleme tehnice în timpul utilizării stației de încărcare, aceștia trebuie să raporteze problema operatorului stației de încărcare. Operatorul stației de încărcare va furniza asistență tehnică în timp util pentru a remedia problema.</w:t>
      </w:r>
    </w:p>
    <w:p w14:paraId="0F0E9785" w14:textId="77777777" w:rsidR="00363BD8" w:rsidRDefault="00363BD8" w:rsidP="00363BD8">
      <w:pPr>
        <w:pStyle w:val="Heading11"/>
        <w:keepNext/>
        <w:keepLines/>
        <w:spacing w:after="320"/>
        <w:jc w:val="both"/>
      </w:pPr>
      <w:bookmarkStart w:id="33" w:name="bookmark35"/>
      <w:bookmarkStart w:id="34" w:name="bookmark36"/>
      <w:bookmarkStart w:id="35" w:name="bookmark37"/>
      <w:r>
        <w:rPr>
          <w:color w:val="000000"/>
        </w:rPr>
        <w:t>Capitolul IV - Responsabilitatea utilizatorilor</w:t>
      </w:r>
      <w:bookmarkEnd w:id="33"/>
      <w:bookmarkEnd w:id="34"/>
      <w:bookmarkEnd w:id="35"/>
    </w:p>
    <w:p w14:paraId="3DD77261" w14:textId="77777777" w:rsidR="00363BD8" w:rsidRDefault="00285FC3" w:rsidP="00363BD8">
      <w:pPr>
        <w:pStyle w:val="BodyText"/>
        <w:spacing w:line="221" w:lineRule="auto"/>
        <w:ind w:firstLine="740"/>
        <w:jc w:val="both"/>
      </w:pPr>
      <w:r>
        <w:rPr>
          <w:b/>
          <w:bCs/>
          <w:color w:val="000000"/>
          <w:sz w:val="30"/>
          <w:szCs w:val="30"/>
        </w:rPr>
        <w:t>Art. 13</w:t>
      </w:r>
      <w:r w:rsidR="00363BD8">
        <w:rPr>
          <w:b/>
          <w:bCs/>
          <w:color w:val="000000"/>
          <w:sz w:val="30"/>
          <w:szCs w:val="30"/>
        </w:rPr>
        <w:t xml:space="preserve"> </w:t>
      </w:r>
      <w:r w:rsidR="00363BD8">
        <w:rPr>
          <w:color w:val="000000"/>
        </w:rPr>
        <w:t>Utilizatorii sunt responsabili pentru orice daune aduse altor vehicule sau proprietăți în timpul utilizării stației de încărcare.Utilizatorii trebuie să se asigure că vehiculul lor este într-o stare sigură de funcționare în timpul încărcării și să își asume întreaga responsabilitate pentru orice daune sau accidente cauzate de utilizarea stației de încărcare. De asemenea, utilizatorii trebuie să se asigure că încărcarea vehiculului lor nu blochează accesul altor utilizatori la stația de încărcare sau la alte spații de parcare.</w:t>
      </w:r>
    </w:p>
    <w:p w14:paraId="0D4BBB66" w14:textId="77777777" w:rsidR="00363BD8" w:rsidRPr="00092033" w:rsidRDefault="00285FC3" w:rsidP="00363BD8">
      <w:pPr>
        <w:shd w:val="clear" w:color="auto" w:fill="FFFFFF"/>
        <w:ind w:firstLine="720"/>
        <w:textAlignment w:val="baseline"/>
        <w:rPr>
          <w:rFonts w:ascii="Arial" w:hAnsi="Arial" w:cs="Arial"/>
          <w:color w:val="FF0000"/>
          <w:sz w:val="27"/>
          <w:szCs w:val="27"/>
        </w:rPr>
      </w:pPr>
      <w:r w:rsidRPr="00285FC3">
        <w:rPr>
          <w:rFonts w:asciiTheme="majorHAnsi" w:hAnsiTheme="majorHAnsi"/>
          <w:b/>
          <w:bCs/>
          <w:i/>
          <w:color w:val="000000"/>
          <w:sz w:val="30"/>
          <w:szCs w:val="30"/>
        </w:rPr>
        <w:t>Art. 14</w:t>
      </w:r>
      <w:r w:rsidR="00363BD8">
        <w:rPr>
          <w:b/>
          <w:bCs/>
          <w:color w:val="000000"/>
          <w:sz w:val="30"/>
          <w:szCs w:val="30"/>
        </w:rPr>
        <w:t xml:space="preserve"> </w:t>
      </w:r>
      <w:r w:rsidR="00363BD8" w:rsidRPr="00B66EFB">
        <w:rPr>
          <w:rFonts w:asciiTheme="majorHAnsi" w:hAnsiTheme="majorHAnsi" w:cs="Tahoma"/>
          <w:i/>
          <w:sz w:val="22"/>
          <w:szCs w:val="22"/>
          <w:bdr w:val="none" w:sz="0" w:space="0" w:color="auto" w:frame="1"/>
        </w:rPr>
        <w:t>Stația electrică de încărcare poate fi utilizată doar pentru modelele de mașini care corespund din punct de vedere tehnic cu specificațiile de fabricație ale stației.</w:t>
      </w:r>
    </w:p>
    <w:p w14:paraId="2D60E876" w14:textId="77777777" w:rsidR="00363BD8" w:rsidRDefault="00363BD8" w:rsidP="00363BD8">
      <w:pPr>
        <w:pStyle w:val="BodyText"/>
        <w:spacing w:line="221" w:lineRule="auto"/>
        <w:ind w:firstLine="740"/>
        <w:jc w:val="both"/>
      </w:pPr>
      <w:r>
        <w:rPr>
          <w:color w:val="000000"/>
        </w:rPr>
        <w:t>Utilizatorii trebuie să utilizeze energia electrică de la stațiile de încărcare doar in scopul încărcării vehiculului lor. Utilizarea resurselor stațiilor de încărcare pentru alte scopuri este interzisă.</w:t>
      </w:r>
    </w:p>
    <w:p w14:paraId="79C2B761" w14:textId="77777777" w:rsidR="00363BD8" w:rsidRDefault="00285FC3" w:rsidP="00363BD8">
      <w:pPr>
        <w:pStyle w:val="BodyText"/>
        <w:spacing w:line="221" w:lineRule="auto"/>
        <w:ind w:firstLine="740"/>
        <w:jc w:val="both"/>
      </w:pPr>
      <w:r>
        <w:rPr>
          <w:b/>
          <w:bCs/>
          <w:color w:val="000000"/>
          <w:sz w:val="30"/>
          <w:szCs w:val="30"/>
        </w:rPr>
        <w:t>Art. 15</w:t>
      </w:r>
      <w:r w:rsidR="00363BD8">
        <w:rPr>
          <w:b/>
          <w:bCs/>
          <w:color w:val="000000"/>
          <w:sz w:val="30"/>
          <w:szCs w:val="30"/>
        </w:rPr>
        <w:t xml:space="preserve"> </w:t>
      </w:r>
      <w:r w:rsidR="00363BD8">
        <w:rPr>
          <w:color w:val="000000"/>
        </w:rPr>
        <w:t>Utilizatorii trebuie să respecte toate regulile de mediu aplicabile în timpul utilizării stațiilor de încărcare. Orice poluare sau contaminare a mediului înconjurător trebuie evitată.</w:t>
      </w:r>
    </w:p>
    <w:p w14:paraId="3E01ED23" w14:textId="77777777" w:rsidR="00363BD8" w:rsidRDefault="00285FC3" w:rsidP="00363BD8">
      <w:pPr>
        <w:pStyle w:val="BodyText"/>
        <w:spacing w:line="221" w:lineRule="auto"/>
        <w:ind w:firstLine="740"/>
        <w:jc w:val="both"/>
        <w:rPr>
          <w:color w:val="000000"/>
        </w:rPr>
      </w:pPr>
      <w:r>
        <w:rPr>
          <w:b/>
          <w:bCs/>
          <w:color w:val="000000"/>
          <w:sz w:val="30"/>
          <w:szCs w:val="30"/>
        </w:rPr>
        <w:t>Art. 16</w:t>
      </w:r>
      <w:r w:rsidR="00363BD8">
        <w:rPr>
          <w:b/>
          <w:bCs/>
          <w:color w:val="000000"/>
          <w:sz w:val="30"/>
          <w:szCs w:val="30"/>
        </w:rPr>
        <w:t xml:space="preserve"> </w:t>
      </w:r>
      <w:r w:rsidR="00363BD8">
        <w:rPr>
          <w:color w:val="000000"/>
        </w:rPr>
        <w:t>Utilizatorii trebuie să respecte mediul înconjurător și să nu lase gunoi sau alte deșeuri pe terenul stației de încărcare. De asemenea, utilizatorii trebuie să se asigure că nu perturbă mediul înconjurător în timpul utilizării stației de încărcare. Orice poluare sau contaminare a mediului înconjurător trebuie evitată.</w:t>
      </w:r>
    </w:p>
    <w:p w14:paraId="6AF33CF1" w14:textId="77777777" w:rsidR="00363BD8" w:rsidRPr="006829F6" w:rsidRDefault="00363BD8" w:rsidP="00363BD8">
      <w:pPr>
        <w:pStyle w:val="BodyText"/>
        <w:spacing w:line="221" w:lineRule="auto"/>
        <w:ind w:firstLine="740"/>
        <w:jc w:val="both"/>
        <w:rPr>
          <w:rFonts w:asciiTheme="majorHAnsi" w:hAnsiTheme="majorHAnsi"/>
        </w:rPr>
      </w:pPr>
      <w:r>
        <w:rPr>
          <w:rFonts w:asciiTheme="majorHAnsi" w:hAnsiTheme="majorHAnsi" w:cs="Tahoma"/>
          <w:bdr w:val="none" w:sz="0" w:space="0" w:color="auto" w:frame="1"/>
        </w:rPr>
        <w:t>A</w:t>
      </w:r>
      <w:r w:rsidRPr="006829F6">
        <w:rPr>
          <w:rFonts w:asciiTheme="majorHAnsi" w:hAnsiTheme="majorHAnsi" w:cs="Tahoma"/>
          <w:bdr w:val="none" w:sz="0" w:space="0" w:color="auto" w:frame="1"/>
        </w:rPr>
        <w:t>doptarea unui comportament neadecvat poate atrage după sine interzicerea dreptului de utilizare a stației electrice și aplicarea unei amenzi raportate la daunele și/sau prejudiciile produse</w:t>
      </w:r>
      <w:r>
        <w:rPr>
          <w:rFonts w:asciiTheme="majorHAnsi" w:hAnsiTheme="majorHAnsi" w:cs="Tahoma"/>
          <w:bdr w:val="none" w:sz="0" w:space="0" w:color="auto" w:frame="1"/>
        </w:rPr>
        <w:t>.</w:t>
      </w:r>
    </w:p>
    <w:p w14:paraId="1075D29A" w14:textId="77777777" w:rsidR="00363BD8" w:rsidRDefault="00363BD8" w:rsidP="00363BD8">
      <w:pPr>
        <w:pStyle w:val="BodyText"/>
        <w:spacing w:after="640" w:line="221" w:lineRule="auto"/>
        <w:ind w:firstLine="740"/>
        <w:jc w:val="both"/>
        <w:rPr>
          <w:color w:val="000000"/>
        </w:rPr>
      </w:pPr>
    </w:p>
    <w:p w14:paraId="131D2AE6" w14:textId="77777777" w:rsidR="00363BD8" w:rsidRDefault="00363BD8" w:rsidP="00363BD8">
      <w:pPr>
        <w:pStyle w:val="Heading11"/>
        <w:keepNext/>
        <w:keepLines/>
        <w:spacing w:after="320"/>
        <w:jc w:val="both"/>
      </w:pPr>
      <w:bookmarkStart w:id="36" w:name="bookmark38"/>
      <w:bookmarkStart w:id="37" w:name="bookmark39"/>
      <w:bookmarkStart w:id="38" w:name="bookmark40"/>
      <w:r>
        <w:rPr>
          <w:color w:val="000000"/>
        </w:rPr>
        <w:lastRenderedPageBreak/>
        <w:t>Capitolul V - Responsabilitatea Autorității Locale</w:t>
      </w:r>
      <w:bookmarkEnd w:id="36"/>
      <w:bookmarkEnd w:id="37"/>
      <w:bookmarkEnd w:id="38"/>
    </w:p>
    <w:p w14:paraId="610381EF" w14:textId="77777777" w:rsidR="00363BD8" w:rsidRDefault="00285FC3" w:rsidP="00363BD8">
      <w:pPr>
        <w:pStyle w:val="BodyText"/>
        <w:spacing w:line="221" w:lineRule="auto"/>
        <w:ind w:firstLine="740"/>
        <w:jc w:val="both"/>
      </w:pPr>
      <w:r>
        <w:rPr>
          <w:b/>
          <w:bCs/>
          <w:color w:val="000000"/>
          <w:sz w:val="30"/>
          <w:szCs w:val="30"/>
        </w:rPr>
        <w:t>Art. 17</w:t>
      </w:r>
      <w:r w:rsidR="00363BD8">
        <w:rPr>
          <w:b/>
          <w:bCs/>
          <w:color w:val="000000"/>
          <w:sz w:val="30"/>
          <w:szCs w:val="30"/>
        </w:rPr>
        <w:t xml:space="preserve">  </w:t>
      </w:r>
      <w:r w:rsidR="00363BD8" w:rsidRPr="009716E0">
        <w:t xml:space="preserve">Comuna Cârcea  </w:t>
      </w:r>
      <w:r w:rsidR="00363BD8">
        <w:rPr>
          <w:color w:val="000000"/>
        </w:rPr>
        <w:t>nu își asumă nici o responsabilitate pentru daunele sau pierderile suferite de utilizatori în timpul utilizării stației de încărcare. Utilizatorii sunt responsabili pentru siguranța vehiculului lor și trebuie să își asume întreaga responsabilitate pentru daunele sau accidentele cauzate de utilizarea stației de încărcare.</w:t>
      </w:r>
    </w:p>
    <w:p w14:paraId="5E9C997F" w14:textId="77777777" w:rsidR="00363BD8" w:rsidRDefault="00285FC3" w:rsidP="00363BD8">
      <w:pPr>
        <w:pStyle w:val="BodyText"/>
        <w:spacing w:after="320" w:line="221" w:lineRule="auto"/>
        <w:ind w:firstLine="740"/>
        <w:jc w:val="both"/>
      </w:pPr>
      <w:r>
        <w:rPr>
          <w:b/>
          <w:bCs/>
          <w:color w:val="000000"/>
          <w:sz w:val="30"/>
          <w:szCs w:val="30"/>
        </w:rPr>
        <w:t>Art. 18</w:t>
      </w:r>
      <w:r w:rsidR="00363BD8">
        <w:rPr>
          <w:b/>
          <w:bCs/>
          <w:color w:val="000000"/>
          <w:sz w:val="30"/>
          <w:szCs w:val="30"/>
        </w:rPr>
        <w:t xml:space="preserve"> </w:t>
      </w:r>
      <w:r w:rsidR="00363BD8">
        <w:rPr>
          <w:color w:val="000000"/>
        </w:rPr>
        <w:t>Comuna Cârcea este responsabilă pentru întreținerea și reparațiile stației. Utilizatorii trebuie să raporteze orice defecțiune sau problemă legată de stația de încărcare operatorului sau autorităților competente.</w:t>
      </w:r>
    </w:p>
    <w:p w14:paraId="1C6E2281" w14:textId="77777777" w:rsidR="00456161" w:rsidRDefault="00456161" w:rsidP="00C05ACA">
      <w:pPr>
        <w:pStyle w:val="Heading11"/>
        <w:keepNext/>
        <w:keepLines/>
        <w:spacing w:after="320"/>
        <w:jc w:val="both"/>
        <w:rPr>
          <w:color w:val="000000"/>
        </w:rPr>
      </w:pPr>
      <w:bookmarkStart w:id="39" w:name="bookmark41"/>
      <w:bookmarkStart w:id="40" w:name="bookmark42"/>
      <w:bookmarkStart w:id="41" w:name="bookmark43"/>
    </w:p>
    <w:p w14:paraId="3E300554" w14:textId="77777777" w:rsidR="00363BD8" w:rsidRDefault="00363BD8" w:rsidP="00363BD8">
      <w:pPr>
        <w:pStyle w:val="Heading11"/>
        <w:keepNext/>
        <w:keepLines/>
        <w:spacing w:after="320"/>
        <w:ind w:firstLine="820"/>
        <w:jc w:val="both"/>
      </w:pPr>
      <w:r>
        <w:rPr>
          <w:color w:val="000000"/>
        </w:rPr>
        <w:t>Capitolu VI - Dispoziții finale</w:t>
      </w:r>
      <w:bookmarkEnd w:id="39"/>
      <w:bookmarkEnd w:id="40"/>
      <w:bookmarkEnd w:id="41"/>
    </w:p>
    <w:p w14:paraId="5349422E" w14:textId="77777777" w:rsidR="00363BD8" w:rsidRDefault="00285FC3" w:rsidP="00363BD8">
      <w:pPr>
        <w:pStyle w:val="BodyText"/>
        <w:spacing w:line="214" w:lineRule="auto"/>
        <w:ind w:firstLine="740"/>
        <w:jc w:val="both"/>
      </w:pPr>
      <w:r>
        <w:rPr>
          <w:b/>
          <w:bCs/>
          <w:color w:val="000000"/>
          <w:sz w:val="30"/>
          <w:szCs w:val="30"/>
        </w:rPr>
        <w:t>Art. 19</w:t>
      </w:r>
      <w:r w:rsidR="00363BD8">
        <w:rPr>
          <w:b/>
          <w:bCs/>
          <w:color w:val="000000"/>
          <w:sz w:val="30"/>
          <w:szCs w:val="30"/>
        </w:rPr>
        <w:t xml:space="preserve"> </w:t>
      </w:r>
      <w:r w:rsidR="00363BD8">
        <w:rPr>
          <w:color w:val="000000"/>
        </w:rPr>
        <w:t>Orice modificare a legislației incidență în domeniu, modifică de drept prevederile prezentului Regulament.</w:t>
      </w:r>
    </w:p>
    <w:p w14:paraId="3C7CB04F" w14:textId="5A82FF4D" w:rsidR="00363BD8" w:rsidRDefault="00285FC3" w:rsidP="00363BD8">
      <w:pPr>
        <w:pStyle w:val="BodyText"/>
        <w:spacing w:line="214" w:lineRule="auto"/>
        <w:ind w:firstLine="740"/>
        <w:jc w:val="both"/>
      </w:pPr>
      <w:r>
        <w:rPr>
          <w:b/>
          <w:bCs/>
          <w:color w:val="000000"/>
          <w:sz w:val="30"/>
          <w:szCs w:val="30"/>
        </w:rPr>
        <w:t>Art. 20</w:t>
      </w:r>
      <w:r w:rsidR="00363BD8">
        <w:rPr>
          <w:b/>
          <w:bCs/>
          <w:color w:val="000000"/>
          <w:sz w:val="30"/>
          <w:szCs w:val="30"/>
        </w:rPr>
        <w:t xml:space="preserve"> </w:t>
      </w:r>
      <w:r w:rsidR="00846B38">
        <w:rPr>
          <w:color w:val="000000"/>
        </w:rPr>
        <w:t>Cuantumul taxei speciale</w:t>
      </w:r>
      <w:r w:rsidR="00363BD8">
        <w:rPr>
          <w:color w:val="000000"/>
        </w:rPr>
        <w:t xml:space="preserve"> aferent utilizării stației de încarcare electrice  se stabilește prin hotărâre a Cons</w:t>
      </w:r>
      <w:r w:rsidR="00186D84">
        <w:rPr>
          <w:color w:val="000000"/>
        </w:rPr>
        <w:t xml:space="preserve">iliului Local al comunei Cârcea şi se </w:t>
      </w:r>
      <w:r w:rsidR="00186D84" w:rsidRPr="00186D84">
        <w:t xml:space="preserve"> </w:t>
      </w:r>
      <w:r w:rsidR="00186D84">
        <w:t>modifică  pe baza tarifului operatorului de energie electrică.</w:t>
      </w:r>
    </w:p>
    <w:p w14:paraId="16849920" w14:textId="77777777" w:rsidR="00AD1F30" w:rsidRDefault="00285FC3" w:rsidP="00851BC5">
      <w:pPr>
        <w:pStyle w:val="NoSpacing"/>
        <w:ind w:firstLine="720"/>
      </w:pPr>
      <w:r>
        <w:rPr>
          <w:rFonts w:asciiTheme="majorHAnsi" w:hAnsiTheme="majorHAnsi"/>
          <w:b/>
          <w:bCs/>
          <w:i/>
          <w:color w:val="000000"/>
          <w:sz w:val="30"/>
          <w:szCs w:val="30"/>
        </w:rPr>
        <w:t>Art. 21</w:t>
      </w:r>
      <w:r w:rsidR="00363BD8">
        <w:rPr>
          <w:b/>
          <w:bCs/>
          <w:color w:val="000000"/>
          <w:sz w:val="30"/>
          <w:szCs w:val="30"/>
        </w:rPr>
        <w:t xml:space="preserve"> </w:t>
      </w:r>
      <w:r w:rsidR="00363BD8" w:rsidRPr="002E2890">
        <w:rPr>
          <w:rFonts w:asciiTheme="majorHAnsi" w:hAnsiTheme="majorHAnsi"/>
          <w:i/>
          <w:sz w:val="22"/>
          <w:szCs w:val="22"/>
        </w:rPr>
        <w:t>Prin utilizarea stațiilor de încărcare electrice  din comuna Cârcea, utilizatorii acceptă și respectă toate regulile și condițiile prezentate în acest regulament. Proprietarul stației de încărcare își rezervă dreptul de a modifica regulamentul în orice moment, fără a fi nevoie de o notif</w:t>
      </w:r>
      <w:r w:rsidR="00851BC5">
        <w:rPr>
          <w:rFonts w:asciiTheme="majorHAnsi" w:hAnsiTheme="majorHAnsi"/>
          <w:i/>
          <w:sz w:val="22"/>
          <w:szCs w:val="22"/>
        </w:rPr>
        <w:t>icare prealabilă utilizatorilor</w:t>
      </w:r>
      <w:bookmarkStart w:id="42" w:name="bookmark12"/>
      <w:bookmarkStart w:id="43" w:name="bookmark13"/>
      <w:bookmarkStart w:id="44" w:name="bookmark14"/>
      <w:bookmarkStart w:id="45" w:name="bookmark15"/>
      <w:bookmarkStart w:id="46" w:name="bookmark17"/>
      <w:bookmarkStart w:id="47" w:name="bookmark18"/>
      <w:bookmarkEnd w:id="42"/>
      <w:bookmarkEnd w:id="43"/>
      <w:bookmarkEnd w:id="44"/>
      <w:bookmarkEnd w:id="45"/>
      <w:bookmarkEnd w:id="46"/>
      <w:bookmarkEnd w:id="47"/>
    </w:p>
    <w:sectPr w:rsidR="00AD1F30" w:rsidSect="0078102B">
      <w:footerReference w:type="default" r:id="rId8"/>
      <w:pgSz w:w="11907" w:h="16839" w:code="9"/>
      <w:pgMar w:top="1135" w:right="1134" w:bottom="1276" w:left="141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7FA9B" w14:textId="77777777" w:rsidR="00820BB2" w:rsidRDefault="00820BB2">
      <w:r>
        <w:separator/>
      </w:r>
    </w:p>
  </w:endnote>
  <w:endnote w:type="continuationSeparator" w:id="0">
    <w:p w14:paraId="1D33CC0C" w14:textId="77777777" w:rsidR="00820BB2" w:rsidRDefault="00820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B8B5B4" w14:textId="77777777" w:rsidR="00AD1F30" w:rsidRDefault="00D12C39">
    <w:pPr>
      <w:spacing w:line="1" w:lineRule="exact"/>
    </w:pPr>
    <w:r>
      <w:rPr>
        <w:noProof/>
      </w:rPr>
      <mc:AlternateContent>
        <mc:Choice Requires="wps">
          <w:drawing>
            <wp:anchor distT="0" distB="0" distL="0" distR="0" simplePos="0" relativeHeight="251659264" behindDoc="1" locked="0" layoutInCell="1" allowOverlap="1" wp14:anchorId="1164BBED" wp14:editId="608A3CC0">
              <wp:simplePos x="0" y="0"/>
              <wp:positionH relativeFrom="page">
                <wp:posOffset>6783070</wp:posOffset>
              </wp:positionH>
              <wp:positionV relativeFrom="page">
                <wp:posOffset>10092055</wp:posOffset>
              </wp:positionV>
              <wp:extent cx="22860" cy="77470"/>
              <wp:effectExtent l="0" t="0" r="0" b="0"/>
              <wp:wrapNone/>
              <wp:docPr id="1" name="Shape 1"/>
              <wp:cNvGraphicFramePr/>
              <a:graphic xmlns:a="http://schemas.openxmlformats.org/drawingml/2006/main">
                <a:graphicData uri="http://schemas.microsoft.com/office/word/2010/wordprocessingShape">
                  <wps:wsp>
                    <wps:cNvSpPr txBox="1"/>
                    <wps:spPr>
                      <a:xfrm>
                        <a:off x="0" y="0"/>
                        <a:ext cx="22860" cy="77470"/>
                      </a:xfrm>
                      <a:prstGeom prst="rect">
                        <a:avLst/>
                      </a:prstGeom>
                      <a:noFill/>
                    </wps:spPr>
                    <wps:txbx>
                      <w:txbxContent>
                        <w:p w14:paraId="324980CB" w14:textId="77777777" w:rsidR="00AD1F30" w:rsidRDefault="00D12C39">
                          <w:pPr>
                            <w:pStyle w:val="Headerorfooter20"/>
                            <w:rPr>
                              <w:sz w:val="19"/>
                              <w:szCs w:val="19"/>
                            </w:rPr>
                          </w:pPr>
                          <w:r>
                            <w:fldChar w:fldCharType="begin"/>
                          </w:r>
                          <w:r>
                            <w:instrText xml:space="preserve"> PAGE \* MERGEFORMAT </w:instrText>
                          </w:r>
                          <w:r>
                            <w:fldChar w:fldCharType="separate"/>
                          </w:r>
                          <w:r w:rsidR="00B207E6" w:rsidRPr="00B207E6">
                            <w:rPr>
                              <w:noProof/>
                              <w:sz w:val="19"/>
                              <w:szCs w:val="19"/>
                            </w:rPr>
                            <w:t>1</w:t>
                          </w:r>
                          <w:r>
                            <w:rPr>
                              <w:sz w:val="19"/>
                              <w:szCs w:val="19"/>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margin-left:534.1pt;margin-top:794.65pt;width:1.8pt;height:6.1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" filled="f" stroked="f">
              <v:textbox style="mso-fit-shape-to-text:t" inset="0,0,0,0">
                <w:txbxContent>
                  <w:p w14:paraId="324980CB" w14:textId="77777777" w:rsidR="00AD1F30" w:rsidRDefault="00D12C39">
                    <w:pPr>
                      <w:pStyle w:val="Headerorfooter20"/>
                      <w:rPr>
                        <w:sz w:val="19"/>
                        <w:szCs w:val="19"/>
                      </w:rPr>
                    </w:pPr>
                    <w:r>
                      <w:fldChar w:fldCharType="begin"/>
                    </w:r>
                    <w:r>
                      <w:instrText xml:space="preserve"> PAGE \* MERGEFORMAT </w:instrText>
                    </w:r>
                    <w:r>
                      <w:fldChar w:fldCharType="separate"/>
                    </w:r>
                    <w:r w:rsidR="00B207E6" w:rsidRPr="00B207E6">
                      <w:rPr>
                        <w:noProof/>
                        <w:sz w:val="19"/>
                        <w:szCs w:val="19"/>
                      </w:rPr>
                      <w:t>1</w:t>
                    </w:r>
                    <w:r>
                      <w:rPr>
                        <w:sz w:val="19"/>
                        <w:szCs w:val="19"/>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3347E7" w14:textId="77777777" w:rsidR="00820BB2" w:rsidRDefault="00820BB2">
      <w:r>
        <w:separator/>
      </w:r>
    </w:p>
  </w:footnote>
  <w:footnote w:type="continuationSeparator" w:id="0">
    <w:p w14:paraId="40D11D5F" w14:textId="77777777" w:rsidR="00820BB2" w:rsidRDefault="00820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030CF"/>
    <w:multiLevelType w:val="multilevel"/>
    <w:tmpl w:val="71787638"/>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5B27FBC"/>
    <w:multiLevelType w:val="multilevel"/>
    <w:tmpl w:val="423663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53C1793"/>
    <w:multiLevelType w:val="multilevel"/>
    <w:tmpl w:val="44C460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28718C5"/>
    <w:multiLevelType w:val="multilevel"/>
    <w:tmpl w:val="C85C19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D6B6FE4"/>
    <w:multiLevelType w:val="multilevel"/>
    <w:tmpl w:val="B8901C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4EC6681"/>
    <w:multiLevelType w:val="multilevel"/>
    <w:tmpl w:val="41C0E44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8DF4602"/>
    <w:multiLevelType w:val="multilevel"/>
    <w:tmpl w:val="0E26279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771E1C"/>
    <w:multiLevelType w:val="multilevel"/>
    <w:tmpl w:val="9D5EC2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D317790"/>
    <w:multiLevelType w:val="multilevel"/>
    <w:tmpl w:val="4F1A31E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6A75639"/>
    <w:multiLevelType w:val="multilevel"/>
    <w:tmpl w:val="3BBAB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702ADB"/>
    <w:multiLevelType w:val="multilevel"/>
    <w:tmpl w:val="A2F06D7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9"/>
  </w:num>
  <w:num w:numId="3">
    <w:abstractNumId w:val="5"/>
  </w:num>
  <w:num w:numId="4">
    <w:abstractNumId w:val="6"/>
  </w:num>
  <w:num w:numId="5">
    <w:abstractNumId w:val="2"/>
  </w:num>
  <w:num w:numId="6">
    <w:abstractNumId w:val="7"/>
  </w:num>
  <w:num w:numId="7">
    <w:abstractNumId w:val="3"/>
  </w:num>
  <w:num w:numId="8">
    <w:abstractNumId w:val="8"/>
  </w:num>
  <w:num w:numId="9">
    <w:abstractNumId w:val="4"/>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7949"/>
    <w:rsid w:val="000902EE"/>
    <w:rsid w:val="000A1DE9"/>
    <w:rsid w:val="000A1F8B"/>
    <w:rsid w:val="000D4CF4"/>
    <w:rsid w:val="0010737D"/>
    <w:rsid w:val="00116A37"/>
    <w:rsid w:val="00121A8E"/>
    <w:rsid w:val="0015191B"/>
    <w:rsid w:val="0018082F"/>
    <w:rsid w:val="00186D84"/>
    <w:rsid w:val="0018784C"/>
    <w:rsid w:val="001A3588"/>
    <w:rsid w:val="001C4CEC"/>
    <w:rsid w:val="001D4A16"/>
    <w:rsid w:val="001E53FA"/>
    <w:rsid w:val="00210178"/>
    <w:rsid w:val="002223EC"/>
    <w:rsid w:val="002505FF"/>
    <w:rsid w:val="00256DB4"/>
    <w:rsid w:val="00285FC3"/>
    <w:rsid w:val="002A72FF"/>
    <w:rsid w:val="002A77BC"/>
    <w:rsid w:val="002F028B"/>
    <w:rsid w:val="002F6139"/>
    <w:rsid w:val="00307699"/>
    <w:rsid w:val="00310F8C"/>
    <w:rsid w:val="00326B08"/>
    <w:rsid w:val="00362D9E"/>
    <w:rsid w:val="00363BD8"/>
    <w:rsid w:val="00440EB6"/>
    <w:rsid w:val="00456161"/>
    <w:rsid w:val="00463170"/>
    <w:rsid w:val="00472302"/>
    <w:rsid w:val="00514879"/>
    <w:rsid w:val="00535FF1"/>
    <w:rsid w:val="00550408"/>
    <w:rsid w:val="00550CF9"/>
    <w:rsid w:val="005949CF"/>
    <w:rsid w:val="005C08A3"/>
    <w:rsid w:val="00643042"/>
    <w:rsid w:val="006923F6"/>
    <w:rsid w:val="00694A64"/>
    <w:rsid w:val="0069673C"/>
    <w:rsid w:val="006D3DD8"/>
    <w:rsid w:val="007634B2"/>
    <w:rsid w:val="0078102B"/>
    <w:rsid w:val="007B1D67"/>
    <w:rsid w:val="007D6438"/>
    <w:rsid w:val="00805D06"/>
    <w:rsid w:val="00820BB2"/>
    <w:rsid w:val="00831599"/>
    <w:rsid w:val="00846B38"/>
    <w:rsid w:val="00851BC5"/>
    <w:rsid w:val="008A6645"/>
    <w:rsid w:val="008B3EF5"/>
    <w:rsid w:val="008B7563"/>
    <w:rsid w:val="00920F39"/>
    <w:rsid w:val="00933144"/>
    <w:rsid w:val="0096402A"/>
    <w:rsid w:val="00971B57"/>
    <w:rsid w:val="0097745D"/>
    <w:rsid w:val="009C408A"/>
    <w:rsid w:val="009C5BD8"/>
    <w:rsid w:val="009D1424"/>
    <w:rsid w:val="009D7949"/>
    <w:rsid w:val="009F7441"/>
    <w:rsid w:val="00A0401E"/>
    <w:rsid w:val="00A06D93"/>
    <w:rsid w:val="00A1204C"/>
    <w:rsid w:val="00A520AA"/>
    <w:rsid w:val="00A56CA5"/>
    <w:rsid w:val="00A672C4"/>
    <w:rsid w:val="00A86D5C"/>
    <w:rsid w:val="00AA5CF2"/>
    <w:rsid w:val="00AB484E"/>
    <w:rsid w:val="00AD1F30"/>
    <w:rsid w:val="00B0530E"/>
    <w:rsid w:val="00B05CF7"/>
    <w:rsid w:val="00B1096D"/>
    <w:rsid w:val="00B207E6"/>
    <w:rsid w:val="00B30333"/>
    <w:rsid w:val="00B516FA"/>
    <w:rsid w:val="00BB2E1F"/>
    <w:rsid w:val="00BC5D3B"/>
    <w:rsid w:val="00C05ACA"/>
    <w:rsid w:val="00C172EB"/>
    <w:rsid w:val="00C53C48"/>
    <w:rsid w:val="00D12C39"/>
    <w:rsid w:val="00D92457"/>
    <w:rsid w:val="00D97353"/>
    <w:rsid w:val="00DC1EFA"/>
    <w:rsid w:val="00E1149A"/>
    <w:rsid w:val="00E154D1"/>
    <w:rsid w:val="00E27CB3"/>
    <w:rsid w:val="00E331CA"/>
    <w:rsid w:val="00E52449"/>
    <w:rsid w:val="00ED2954"/>
    <w:rsid w:val="00EE0202"/>
    <w:rsid w:val="00EF67D2"/>
    <w:rsid w:val="00F33830"/>
    <w:rsid w:val="00F47ABA"/>
    <w:rsid w:val="00F805C7"/>
    <w:rsid w:val="00F8760B"/>
    <w:rsid w:val="00FE3B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C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D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63BD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D8"/>
    <w:rPr>
      <w:rFonts w:ascii="Times New Roman" w:eastAsia="Times New Roman" w:hAnsi="Times New Roman" w:cs="Times New Roman"/>
      <w:b/>
      <w:bCs/>
      <w:kern w:val="36"/>
      <w:sz w:val="48"/>
      <w:szCs w:val="48"/>
    </w:rPr>
  </w:style>
  <w:style w:type="character" w:customStyle="1" w:styleId="alb">
    <w:name w:val="a_lb"/>
    <w:basedOn w:val="DefaultParagraphFont"/>
    <w:rsid w:val="00363BD8"/>
  </w:style>
  <w:style w:type="character" w:customStyle="1" w:styleId="BodyTextChar">
    <w:name w:val="Body Text Char"/>
    <w:basedOn w:val="DefaultParagraphFont"/>
    <w:link w:val="BodyText"/>
    <w:rsid w:val="00363BD8"/>
    <w:rPr>
      <w:rFonts w:ascii="Cambria" w:eastAsia="Cambria" w:hAnsi="Cambria" w:cs="Cambria"/>
      <w:i/>
      <w:iCs/>
    </w:rPr>
  </w:style>
  <w:style w:type="paragraph" w:styleId="BodyText">
    <w:name w:val="Body Text"/>
    <w:basedOn w:val="Normal"/>
    <w:link w:val="BodyTextChar"/>
    <w:qFormat/>
    <w:rsid w:val="00363BD8"/>
    <w:pPr>
      <w:widowControl w:val="0"/>
      <w:spacing w:line="286" w:lineRule="auto"/>
      <w:ind w:firstLine="400"/>
    </w:pPr>
    <w:rPr>
      <w:rFonts w:ascii="Cambria" w:eastAsia="Cambria" w:hAnsi="Cambria" w:cs="Cambria"/>
      <w:i/>
      <w:iCs/>
      <w:sz w:val="22"/>
      <w:szCs w:val="22"/>
    </w:rPr>
  </w:style>
  <w:style w:type="character" w:customStyle="1" w:styleId="BodyTextChar1">
    <w:name w:val="Body Text Char1"/>
    <w:basedOn w:val="DefaultParagraphFont"/>
    <w:uiPriority w:val="99"/>
    <w:semiHidden/>
    <w:rsid w:val="00363BD8"/>
    <w:rPr>
      <w:rFonts w:ascii="Times New Roman" w:eastAsia="Times New Roman" w:hAnsi="Times New Roman" w:cs="Times New Roman"/>
      <w:sz w:val="24"/>
      <w:szCs w:val="24"/>
    </w:rPr>
  </w:style>
  <w:style w:type="character" w:customStyle="1" w:styleId="atl">
    <w:name w:val="a_tl"/>
    <w:basedOn w:val="DefaultParagraphFont"/>
    <w:rsid w:val="00363BD8"/>
  </w:style>
  <w:style w:type="character" w:customStyle="1" w:styleId="spubbdy">
    <w:name w:val="s_pub_bdy"/>
    <w:basedOn w:val="DefaultParagraphFont"/>
    <w:rsid w:val="00363BD8"/>
  </w:style>
  <w:style w:type="character" w:customStyle="1" w:styleId="salnbdy">
    <w:name w:val="s_aln_bdy"/>
    <w:basedOn w:val="DefaultParagraphFont"/>
    <w:rsid w:val="00363BD8"/>
  </w:style>
  <w:style w:type="character" w:customStyle="1" w:styleId="slinttl">
    <w:name w:val="s_lin_ttl"/>
    <w:basedOn w:val="DefaultParagraphFont"/>
    <w:rsid w:val="00363BD8"/>
  </w:style>
  <w:style w:type="character" w:customStyle="1" w:styleId="slinbdy">
    <w:name w:val="s_lin_bdy"/>
    <w:basedOn w:val="DefaultParagraphFont"/>
    <w:rsid w:val="00363BD8"/>
  </w:style>
  <w:style w:type="character" w:customStyle="1" w:styleId="Headerorfooter2">
    <w:name w:val="Header or footer (2)_"/>
    <w:basedOn w:val="DefaultParagraphFont"/>
    <w:link w:val="Headerorfooter20"/>
    <w:rsid w:val="00363BD8"/>
    <w:rPr>
      <w:rFonts w:eastAsia="Times New Roman"/>
      <w:sz w:val="20"/>
      <w:szCs w:val="20"/>
    </w:rPr>
  </w:style>
  <w:style w:type="character" w:customStyle="1" w:styleId="Heading10">
    <w:name w:val="Heading #1_"/>
    <w:basedOn w:val="DefaultParagraphFont"/>
    <w:link w:val="Heading11"/>
    <w:rsid w:val="00363BD8"/>
    <w:rPr>
      <w:rFonts w:eastAsia="Times New Roman"/>
      <w:b/>
      <w:bCs/>
      <w:sz w:val="30"/>
      <w:szCs w:val="30"/>
    </w:rPr>
  </w:style>
  <w:style w:type="paragraph" w:customStyle="1" w:styleId="Headerorfooter20">
    <w:name w:val="Header or footer (2)"/>
    <w:basedOn w:val="Normal"/>
    <w:link w:val="Headerorfooter2"/>
    <w:rsid w:val="00363BD8"/>
    <w:pPr>
      <w:widowControl w:val="0"/>
    </w:pPr>
    <w:rPr>
      <w:rFonts w:asciiTheme="minorHAnsi" w:hAnsiTheme="minorHAnsi" w:cstheme="minorBidi"/>
      <w:sz w:val="20"/>
      <w:szCs w:val="20"/>
    </w:rPr>
  </w:style>
  <w:style w:type="paragraph" w:customStyle="1" w:styleId="Heading11">
    <w:name w:val="Heading #1"/>
    <w:basedOn w:val="Normal"/>
    <w:link w:val="Heading10"/>
    <w:rsid w:val="00363BD8"/>
    <w:pPr>
      <w:widowControl w:val="0"/>
      <w:spacing w:after="310" w:line="221" w:lineRule="auto"/>
      <w:ind w:firstLine="740"/>
      <w:outlineLvl w:val="0"/>
    </w:pPr>
    <w:rPr>
      <w:rFonts w:asciiTheme="minorHAnsi" w:hAnsiTheme="minorHAnsi" w:cstheme="minorBidi"/>
      <w:b/>
      <w:bCs/>
      <w:sz w:val="30"/>
      <w:szCs w:val="30"/>
    </w:rPr>
  </w:style>
  <w:style w:type="paragraph" w:customStyle="1" w:styleId="yiv8383183942msonormal">
    <w:name w:val="yiv8383183942msonormal"/>
    <w:basedOn w:val="Normal"/>
    <w:rsid w:val="00363BD8"/>
    <w:pPr>
      <w:spacing w:before="100" w:beforeAutospacing="1" w:after="100" w:afterAutospacing="1"/>
    </w:pPr>
  </w:style>
  <w:style w:type="paragraph" w:styleId="NoSpacing">
    <w:name w:val="No Spacing"/>
    <w:uiPriority w:val="1"/>
    <w:qFormat/>
    <w:rsid w:val="00363BD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102B"/>
    <w:pPr>
      <w:tabs>
        <w:tab w:val="center" w:pos="4703"/>
        <w:tab w:val="right" w:pos="9406"/>
      </w:tabs>
    </w:pPr>
  </w:style>
  <w:style w:type="character" w:customStyle="1" w:styleId="HeaderChar">
    <w:name w:val="Header Char"/>
    <w:basedOn w:val="DefaultParagraphFont"/>
    <w:link w:val="Header"/>
    <w:uiPriority w:val="99"/>
    <w:rsid w:val="00781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102B"/>
    <w:pPr>
      <w:tabs>
        <w:tab w:val="center" w:pos="4703"/>
        <w:tab w:val="right" w:pos="9406"/>
      </w:tabs>
    </w:pPr>
  </w:style>
  <w:style w:type="character" w:customStyle="1" w:styleId="FooterChar">
    <w:name w:val="Footer Char"/>
    <w:basedOn w:val="DefaultParagraphFont"/>
    <w:link w:val="Footer"/>
    <w:uiPriority w:val="99"/>
    <w:rsid w:val="0078102B"/>
    <w:rPr>
      <w:rFonts w:ascii="Times New Roman" w:eastAsia="Times New Roman" w:hAnsi="Times New Roman" w:cs="Times New Roman"/>
      <w:sz w:val="24"/>
      <w:szCs w:val="24"/>
    </w:rPr>
  </w:style>
  <w:style w:type="character" w:customStyle="1" w:styleId="Heading3">
    <w:name w:val="Heading #3_"/>
    <w:basedOn w:val="DefaultParagraphFont"/>
    <w:link w:val="Heading30"/>
    <w:rsid w:val="00B1096D"/>
    <w:rPr>
      <w:rFonts w:ascii="Times New Roman" w:eastAsia="Times New Roman" w:hAnsi="Times New Roman" w:cs="Times New Roman"/>
      <w:b/>
      <w:bCs/>
      <w:sz w:val="28"/>
      <w:szCs w:val="28"/>
    </w:rPr>
  </w:style>
  <w:style w:type="paragraph" w:customStyle="1" w:styleId="Heading30">
    <w:name w:val="Heading #3"/>
    <w:basedOn w:val="Normal"/>
    <w:link w:val="Heading3"/>
    <w:rsid w:val="00B1096D"/>
    <w:pPr>
      <w:widowControl w:val="0"/>
      <w:spacing w:after="220" w:line="276" w:lineRule="auto"/>
      <w:ind w:left="1420"/>
      <w:outlineLvl w:val="2"/>
    </w:pPr>
    <w:rPr>
      <w:b/>
      <w:bCs/>
      <w:sz w:val="28"/>
      <w:szCs w:val="28"/>
    </w:rPr>
  </w:style>
  <w:style w:type="paragraph" w:styleId="BalloonText">
    <w:name w:val="Balloon Text"/>
    <w:basedOn w:val="Normal"/>
    <w:link w:val="BalloonTextChar"/>
    <w:uiPriority w:val="99"/>
    <w:semiHidden/>
    <w:unhideWhenUsed/>
    <w:rsid w:val="00EE0202"/>
    <w:rPr>
      <w:rFonts w:ascii="Tahoma" w:hAnsi="Tahoma" w:cs="Tahoma"/>
      <w:sz w:val="16"/>
      <w:szCs w:val="16"/>
    </w:rPr>
  </w:style>
  <w:style w:type="character" w:customStyle="1" w:styleId="BalloonTextChar">
    <w:name w:val="Balloon Text Char"/>
    <w:basedOn w:val="DefaultParagraphFont"/>
    <w:link w:val="BalloonText"/>
    <w:uiPriority w:val="99"/>
    <w:semiHidden/>
    <w:rsid w:val="00EE020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BD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363BD8"/>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3BD8"/>
    <w:rPr>
      <w:rFonts w:ascii="Times New Roman" w:eastAsia="Times New Roman" w:hAnsi="Times New Roman" w:cs="Times New Roman"/>
      <w:b/>
      <w:bCs/>
      <w:kern w:val="36"/>
      <w:sz w:val="48"/>
      <w:szCs w:val="48"/>
    </w:rPr>
  </w:style>
  <w:style w:type="character" w:customStyle="1" w:styleId="alb">
    <w:name w:val="a_lb"/>
    <w:basedOn w:val="DefaultParagraphFont"/>
    <w:rsid w:val="00363BD8"/>
  </w:style>
  <w:style w:type="character" w:customStyle="1" w:styleId="BodyTextChar">
    <w:name w:val="Body Text Char"/>
    <w:basedOn w:val="DefaultParagraphFont"/>
    <w:link w:val="BodyText"/>
    <w:rsid w:val="00363BD8"/>
    <w:rPr>
      <w:rFonts w:ascii="Cambria" w:eastAsia="Cambria" w:hAnsi="Cambria" w:cs="Cambria"/>
      <w:i/>
      <w:iCs/>
    </w:rPr>
  </w:style>
  <w:style w:type="paragraph" w:styleId="BodyText">
    <w:name w:val="Body Text"/>
    <w:basedOn w:val="Normal"/>
    <w:link w:val="BodyTextChar"/>
    <w:qFormat/>
    <w:rsid w:val="00363BD8"/>
    <w:pPr>
      <w:widowControl w:val="0"/>
      <w:spacing w:line="286" w:lineRule="auto"/>
      <w:ind w:firstLine="400"/>
    </w:pPr>
    <w:rPr>
      <w:rFonts w:ascii="Cambria" w:eastAsia="Cambria" w:hAnsi="Cambria" w:cs="Cambria"/>
      <w:i/>
      <w:iCs/>
      <w:sz w:val="22"/>
      <w:szCs w:val="22"/>
    </w:rPr>
  </w:style>
  <w:style w:type="character" w:customStyle="1" w:styleId="BodyTextChar1">
    <w:name w:val="Body Text Char1"/>
    <w:basedOn w:val="DefaultParagraphFont"/>
    <w:uiPriority w:val="99"/>
    <w:semiHidden/>
    <w:rsid w:val="00363BD8"/>
    <w:rPr>
      <w:rFonts w:ascii="Times New Roman" w:eastAsia="Times New Roman" w:hAnsi="Times New Roman" w:cs="Times New Roman"/>
      <w:sz w:val="24"/>
      <w:szCs w:val="24"/>
    </w:rPr>
  </w:style>
  <w:style w:type="character" w:customStyle="1" w:styleId="atl">
    <w:name w:val="a_tl"/>
    <w:basedOn w:val="DefaultParagraphFont"/>
    <w:rsid w:val="00363BD8"/>
  </w:style>
  <w:style w:type="character" w:customStyle="1" w:styleId="spubbdy">
    <w:name w:val="s_pub_bdy"/>
    <w:basedOn w:val="DefaultParagraphFont"/>
    <w:rsid w:val="00363BD8"/>
  </w:style>
  <w:style w:type="character" w:customStyle="1" w:styleId="salnbdy">
    <w:name w:val="s_aln_bdy"/>
    <w:basedOn w:val="DefaultParagraphFont"/>
    <w:rsid w:val="00363BD8"/>
  </w:style>
  <w:style w:type="character" w:customStyle="1" w:styleId="slinttl">
    <w:name w:val="s_lin_ttl"/>
    <w:basedOn w:val="DefaultParagraphFont"/>
    <w:rsid w:val="00363BD8"/>
  </w:style>
  <w:style w:type="character" w:customStyle="1" w:styleId="slinbdy">
    <w:name w:val="s_lin_bdy"/>
    <w:basedOn w:val="DefaultParagraphFont"/>
    <w:rsid w:val="00363BD8"/>
  </w:style>
  <w:style w:type="character" w:customStyle="1" w:styleId="Headerorfooter2">
    <w:name w:val="Header or footer (2)_"/>
    <w:basedOn w:val="DefaultParagraphFont"/>
    <w:link w:val="Headerorfooter20"/>
    <w:rsid w:val="00363BD8"/>
    <w:rPr>
      <w:rFonts w:eastAsia="Times New Roman"/>
      <w:sz w:val="20"/>
      <w:szCs w:val="20"/>
    </w:rPr>
  </w:style>
  <w:style w:type="character" w:customStyle="1" w:styleId="Heading10">
    <w:name w:val="Heading #1_"/>
    <w:basedOn w:val="DefaultParagraphFont"/>
    <w:link w:val="Heading11"/>
    <w:rsid w:val="00363BD8"/>
    <w:rPr>
      <w:rFonts w:eastAsia="Times New Roman"/>
      <w:b/>
      <w:bCs/>
      <w:sz w:val="30"/>
      <w:szCs w:val="30"/>
    </w:rPr>
  </w:style>
  <w:style w:type="paragraph" w:customStyle="1" w:styleId="Headerorfooter20">
    <w:name w:val="Header or footer (2)"/>
    <w:basedOn w:val="Normal"/>
    <w:link w:val="Headerorfooter2"/>
    <w:rsid w:val="00363BD8"/>
    <w:pPr>
      <w:widowControl w:val="0"/>
    </w:pPr>
    <w:rPr>
      <w:rFonts w:asciiTheme="minorHAnsi" w:hAnsiTheme="minorHAnsi" w:cstheme="minorBidi"/>
      <w:sz w:val="20"/>
      <w:szCs w:val="20"/>
    </w:rPr>
  </w:style>
  <w:style w:type="paragraph" w:customStyle="1" w:styleId="Heading11">
    <w:name w:val="Heading #1"/>
    <w:basedOn w:val="Normal"/>
    <w:link w:val="Heading10"/>
    <w:rsid w:val="00363BD8"/>
    <w:pPr>
      <w:widowControl w:val="0"/>
      <w:spacing w:after="310" w:line="221" w:lineRule="auto"/>
      <w:ind w:firstLine="740"/>
      <w:outlineLvl w:val="0"/>
    </w:pPr>
    <w:rPr>
      <w:rFonts w:asciiTheme="minorHAnsi" w:hAnsiTheme="minorHAnsi" w:cstheme="minorBidi"/>
      <w:b/>
      <w:bCs/>
      <w:sz w:val="30"/>
      <w:szCs w:val="30"/>
    </w:rPr>
  </w:style>
  <w:style w:type="paragraph" w:customStyle="1" w:styleId="yiv8383183942msonormal">
    <w:name w:val="yiv8383183942msonormal"/>
    <w:basedOn w:val="Normal"/>
    <w:rsid w:val="00363BD8"/>
    <w:pPr>
      <w:spacing w:before="100" w:beforeAutospacing="1" w:after="100" w:afterAutospacing="1"/>
    </w:pPr>
  </w:style>
  <w:style w:type="paragraph" w:styleId="NoSpacing">
    <w:name w:val="No Spacing"/>
    <w:uiPriority w:val="1"/>
    <w:qFormat/>
    <w:rsid w:val="00363BD8"/>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8102B"/>
    <w:pPr>
      <w:tabs>
        <w:tab w:val="center" w:pos="4703"/>
        <w:tab w:val="right" w:pos="9406"/>
      </w:tabs>
    </w:pPr>
  </w:style>
  <w:style w:type="character" w:customStyle="1" w:styleId="HeaderChar">
    <w:name w:val="Header Char"/>
    <w:basedOn w:val="DefaultParagraphFont"/>
    <w:link w:val="Header"/>
    <w:uiPriority w:val="99"/>
    <w:rsid w:val="0078102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8102B"/>
    <w:pPr>
      <w:tabs>
        <w:tab w:val="center" w:pos="4703"/>
        <w:tab w:val="right" w:pos="9406"/>
      </w:tabs>
    </w:pPr>
  </w:style>
  <w:style w:type="character" w:customStyle="1" w:styleId="FooterChar">
    <w:name w:val="Footer Char"/>
    <w:basedOn w:val="DefaultParagraphFont"/>
    <w:link w:val="Footer"/>
    <w:uiPriority w:val="99"/>
    <w:rsid w:val="0078102B"/>
    <w:rPr>
      <w:rFonts w:ascii="Times New Roman" w:eastAsia="Times New Roman" w:hAnsi="Times New Roman" w:cs="Times New Roman"/>
      <w:sz w:val="24"/>
      <w:szCs w:val="24"/>
    </w:rPr>
  </w:style>
  <w:style w:type="character" w:customStyle="1" w:styleId="Heading3">
    <w:name w:val="Heading #3_"/>
    <w:basedOn w:val="DefaultParagraphFont"/>
    <w:link w:val="Heading30"/>
    <w:rsid w:val="00B1096D"/>
    <w:rPr>
      <w:rFonts w:ascii="Times New Roman" w:eastAsia="Times New Roman" w:hAnsi="Times New Roman" w:cs="Times New Roman"/>
      <w:b/>
      <w:bCs/>
      <w:sz w:val="28"/>
      <w:szCs w:val="28"/>
    </w:rPr>
  </w:style>
  <w:style w:type="paragraph" w:customStyle="1" w:styleId="Heading30">
    <w:name w:val="Heading #3"/>
    <w:basedOn w:val="Normal"/>
    <w:link w:val="Heading3"/>
    <w:rsid w:val="00B1096D"/>
    <w:pPr>
      <w:widowControl w:val="0"/>
      <w:spacing w:after="220" w:line="276" w:lineRule="auto"/>
      <w:ind w:left="1420"/>
      <w:outlineLvl w:val="2"/>
    </w:pPr>
    <w:rPr>
      <w:b/>
      <w:bCs/>
      <w:sz w:val="28"/>
      <w:szCs w:val="28"/>
    </w:rPr>
  </w:style>
  <w:style w:type="paragraph" w:styleId="BalloonText">
    <w:name w:val="Balloon Text"/>
    <w:basedOn w:val="Normal"/>
    <w:link w:val="BalloonTextChar"/>
    <w:uiPriority w:val="99"/>
    <w:semiHidden/>
    <w:unhideWhenUsed/>
    <w:rsid w:val="00EE0202"/>
    <w:rPr>
      <w:rFonts w:ascii="Tahoma" w:hAnsi="Tahoma" w:cs="Tahoma"/>
      <w:sz w:val="16"/>
      <w:szCs w:val="16"/>
    </w:rPr>
  </w:style>
  <w:style w:type="character" w:customStyle="1" w:styleId="BalloonTextChar">
    <w:name w:val="Balloon Text Char"/>
    <w:basedOn w:val="DefaultParagraphFont"/>
    <w:link w:val="BalloonText"/>
    <w:uiPriority w:val="99"/>
    <w:semiHidden/>
    <w:rsid w:val="00EE020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1560</Words>
  <Characters>8897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2024-10-02T10:33:00Z</cp:lastPrinted>
  <dcterms:created xsi:type="dcterms:W3CDTF">2024-10-02T10:42:00Z</dcterms:created>
  <dcterms:modified xsi:type="dcterms:W3CDTF">2024-10-02T10:42:00Z</dcterms:modified>
</cp:coreProperties>
</file>