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90F0" w14:textId="77777777" w:rsidR="00B03179" w:rsidRDefault="00B03179" w:rsidP="00B03179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Județul Argeș </w:t>
      </w:r>
    </w:p>
    <w:p w14:paraId="6DBC25A0" w14:textId="77777777" w:rsidR="00B03179" w:rsidRDefault="00B03179" w:rsidP="00B03179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Municipiul Câmpulung</w:t>
      </w:r>
    </w:p>
    <w:p w14:paraId="6B8A15B6" w14:textId="654045A1" w:rsidR="00B03179" w:rsidRDefault="00B03179" w:rsidP="00B03179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p w14:paraId="2B6FCEBF" w14:textId="77777777" w:rsidR="00B03179" w:rsidRDefault="00B03179" w:rsidP="00B03179">
      <w:pPr>
        <w:rPr>
          <w:b/>
          <w:bCs/>
          <w:sz w:val="28"/>
          <w:szCs w:val="28"/>
          <w:lang w:val="ro-RO"/>
        </w:rPr>
      </w:pPr>
    </w:p>
    <w:p w14:paraId="7B5B30F4" w14:textId="512A77BC" w:rsidR="00B03179" w:rsidRDefault="00B03179" w:rsidP="00B03179">
      <w:pPr>
        <w:jc w:val="right"/>
        <w:rPr>
          <w:b/>
          <w:bCs/>
          <w:sz w:val="28"/>
          <w:szCs w:val="28"/>
          <w:lang w:val="ro-RO"/>
        </w:rPr>
      </w:pPr>
      <w:r w:rsidRPr="00F56725">
        <w:rPr>
          <w:b/>
          <w:bCs/>
          <w:sz w:val="28"/>
          <w:szCs w:val="28"/>
          <w:lang w:val="ro-RO"/>
        </w:rPr>
        <w:t xml:space="preserve">Anexa nr. </w:t>
      </w:r>
      <w:r>
        <w:rPr>
          <w:b/>
          <w:bCs/>
          <w:sz w:val="28"/>
          <w:szCs w:val="28"/>
          <w:lang w:val="ro-RO"/>
        </w:rPr>
        <w:t>7</w:t>
      </w:r>
      <w:r w:rsidRPr="00F56725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la proiectul de hotărâre nr. 66 din 24.04.2026 </w:t>
      </w:r>
    </w:p>
    <w:p w14:paraId="27FD3C96" w14:textId="77777777" w:rsidR="000927B7" w:rsidRPr="00F56725" w:rsidRDefault="000927B7">
      <w:pPr>
        <w:rPr>
          <w:lang w:val="ro-RO"/>
        </w:rPr>
      </w:pPr>
    </w:p>
    <w:p w14:paraId="52148ABE" w14:textId="77777777" w:rsidR="000927B7" w:rsidRPr="00F56725" w:rsidRDefault="000927B7">
      <w:pPr>
        <w:rPr>
          <w:lang w:val="ro-RO"/>
        </w:rPr>
      </w:pPr>
    </w:p>
    <w:p w14:paraId="791B8472" w14:textId="77777777" w:rsidR="000927B7" w:rsidRPr="00F56725" w:rsidRDefault="000927B7">
      <w:pPr>
        <w:jc w:val="center"/>
        <w:rPr>
          <w:b/>
          <w:bCs/>
          <w:sz w:val="28"/>
          <w:szCs w:val="28"/>
          <w:lang w:val="ro-RO" w:bidi="or-IN"/>
        </w:rPr>
      </w:pPr>
      <w:r w:rsidRPr="00F56725">
        <w:rPr>
          <w:b/>
          <w:bCs/>
          <w:sz w:val="28"/>
          <w:szCs w:val="28"/>
          <w:lang w:val="ro-RO"/>
        </w:rPr>
        <w:t xml:space="preserve">Anexa privind numărul de personal, precum şi fondul de salarii de bază aprobate conform prevederilor OUG 63 / 2010 </w:t>
      </w:r>
      <w:r w:rsidRPr="00F56725">
        <w:rPr>
          <w:b/>
          <w:bCs/>
          <w:sz w:val="28"/>
          <w:szCs w:val="28"/>
          <w:lang w:val="ro-RO" w:bidi="or-IN"/>
        </w:rPr>
        <w:t xml:space="preserve">pentru modificarea şi completarea </w:t>
      </w:r>
      <w:r w:rsidRPr="00F56725">
        <w:rPr>
          <w:b/>
          <w:bCs/>
          <w:color w:val="008000"/>
          <w:sz w:val="28"/>
          <w:szCs w:val="28"/>
          <w:u w:val="single"/>
          <w:lang w:val="ro-RO" w:bidi="or-IN"/>
        </w:rPr>
        <w:t>Legii nr. 273/2006</w:t>
      </w:r>
      <w:r w:rsidRPr="00F56725">
        <w:rPr>
          <w:b/>
          <w:bCs/>
          <w:sz w:val="28"/>
          <w:szCs w:val="28"/>
          <w:lang w:val="ro-RO" w:bidi="or-IN"/>
        </w:rPr>
        <w:t xml:space="preserve"> privind finanţele publice locale, precum şi pentru stabilirea unor măsuri financiare şi </w:t>
      </w:r>
      <w:r w:rsidRPr="00F56725">
        <w:rPr>
          <w:b/>
          <w:bCs/>
          <w:sz w:val="28"/>
          <w:szCs w:val="28"/>
          <w:lang w:val="ro-RO"/>
        </w:rPr>
        <w:t xml:space="preserve">art. 26, alin. (4) din Legea nr. 273 / 2006 privind finanţele publice locale, cu modificările şi completările ulterioare exceptate de la numărul maxim de posturi, aferentă capitolelor bugetare </w:t>
      </w:r>
      <w:r w:rsidRPr="00F56725">
        <w:rPr>
          <w:b/>
          <w:bCs/>
          <w:sz w:val="28"/>
          <w:szCs w:val="28"/>
          <w:lang w:val="ro-RO" w:bidi="or-IN"/>
        </w:rPr>
        <w:t>"Sănătate" şi "Asigurări şi asistenţă socială", indiferent de sursa de finanţare.</w:t>
      </w:r>
    </w:p>
    <w:p w14:paraId="4CC380CD" w14:textId="77777777" w:rsidR="000927B7" w:rsidRPr="00F56725" w:rsidRDefault="000927B7">
      <w:pPr>
        <w:rPr>
          <w:b/>
          <w:bCs/>
          <w:lang w:val="ro-RO"/>
        </w:rPr>
      </w:pPr>
    </w:p>
    <w:p w14:paraId="033115D6" w14:textId="77777777" w:rsidR="000927B7" w:rsidRPr="00F56725" w:rsidRDefault="000927B7">
      <w:pPr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555"/>
        <w:gridCol w:w="2065"/>
        <w:gridCol w:w="2004"/>
        <w:gridCol w:w="2372"/>
      </w:tblGrid>
      <w:tr w:rsidR="00BB3217" w:rsidRPr="00576717" w14:paraId="215515F4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2A9" w14:textId="77777777" w:rsidR="00BB3217" w:rsidRPr="00F56725" w:rsidRDefault="00BB3217" w:rsidP="002E5CB0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E8E" w14:textId="77777777" w:rsidR="00BB3217" w:rsidRPr="00F56725" w:rsidRDefault="00BB3217" w:rsidP="002E5CB0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 xml:space="preserve">Denumire instituţiei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7B0" w14:textId="77777777" w:rsidR="00BB3217" w:rsidRPr="00F56725" w:rsidRDefault="00BB3217" w:rsidP="005E279D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Număr de posturi aprobate</w:t>
            </w:r>
            <w:r>
              <w:rPr>
                <w:b/>
                <w:bCs/>
                <w:lang w:val="ro-RO"/>
              </w:rPr>
              <w:t xml:space="preserve"> până la 1 iulie 2026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8AB" w14:textId="77777777" w:rsidR="00BB3217" w:rsidRPr="00F56725" w:rsidRDefault="00BB3217" w:rsidP="005E279D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Număr de posturi aprobate</w:t>
            </w:r>
            <w:r>
              <w:rPr>
                <w:b/>
                <w:bCs/>
                <w:lang w:val="ro-RO"/>
              </w:rPr>
              <w:t xml:space="preserve"> dupa 1 iulie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0E1" w14:textId="77777777" w:rsidR="00BB3217" w:rsidRPr="00F56725" w:rsidRDefault="00BB3217" w:rsidP="002E5CB0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 xml:space="preserve">Fond de salarii </w:t>
            </w:r>
          </w:p>
          <w:p w14:paraId="5AF91986" w14:textId="77777777" w:rsidR="00BB3217" w:rsidRPr="00F56725" w:rsidRDefault="00BB3217" w:rsidP="002E5CB0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-mii lei-</w:t>
            </w:r>
          </w:p>
        </w:tc>
      </w:tr>
      <w:tr w:rsidR="009765B7" w:rsidRPr="00F56725" w14:paraId="7292EA02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72C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266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Autoritati executive- posturi fonduri externe nerambursabile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714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635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DDC" w14:textId="3E27F1DE" w:rsidR="009765B7" w:rsidRPr="00F56725" w:rsidRDefault="00E410D4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600,00</w:t>
            </w:r>
          </w:p>
        </w:tc>
      </w:tr>
      <w:tr w:rsidR="009765B7" w:rsidRPr="00F56725" w14:paraId="4769E3BE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DCF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412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Directia de Asistenţă Socială a Municipiului Câmpulung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761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336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278" w14:textId="69A98AC0" w:rsidR="009765B7" w:rsidRPr="00F56725" w:rsidRDefault="00E410D4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  <w:r w:rsidR="004D6281">
              <w:rPr>
                <w:lang w:val="ro-RO"/>
              </w:rPr>
              <w:t>963,00</w:t>
            </w:r>
          </w:p>
        </w:tc>
      </w:tr>
      <w:tr w:rsidR="009765B7" w:rsidRPr="00F56725" w14:paraId="0FBB81FE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B2C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3.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715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 xml:space="preserve">Spitalul Municipal Câmpulung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124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691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3C2" w14:textId="77777777" w:rsidR="009765B7" w:rsidRDefault="00824F62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D5D" w14:textId="3DC34E62" w:rsidR="009765B7" w:rsidRPr="00F56725" w:rsidRDefault="004D6281" w:rsidP="000B4E73">
            <w:pPr>
              <w:jc w:val="center"/>
              <w:rPr>
                <w:lang w:val="ro-RO"/>
              </w:rPr>
            </w:pPr>
            <w:r w:rsidRPr="004D6281">
              <w:rPr>
                <w:lang w:val="ro-RO"/>
              </w:rPr>
              <w:t>94</w:t>
            </w:r>
            <w:r>
              <w:rPr>
                <w:lang w:val="ro-RO"/>
              </w:rPr>
              <w:t>.</w:t>
            </w:r>
            <w:r w:rsidRPr="004D6281">
              <w:rPr>
                <w:lang w:val="ro-RO"/>
              </w:rPr>
              <w:t>112,4</w:t>
            </w:r>
            <w:r>
              <w:rPr>
                <w:lang w:val="ro-RO"/>
              </w:rPr>
              <w:t>0</w:t>
            </w:r>
          </w:p>
        </w:tc>
      </w:tr>
      <w:tr w:rsidR="009765B7" w:rsidRPr="00F56725" w14:paraId="0D67B796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282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8C6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Spitalul de Pneumoftiziologie Câmpulung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BB6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113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F68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DE7" w14:textId="705B85A8" w:rsidR="009765B7" w:rsidRPr="00F56725" w:rsidRDefault="004D6281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12.102,00</w:t>
            </w:r>
          </w:p>
        </w:tc>
      </w:tr>
      <w:tr w:rsidR="009765B7" w:rsidRPr="00F56725" w14:paraId="5621D74B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F9A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3EE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Serviciul Asistenţă Medicală, Medicină Dentară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B43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F19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00B" w14:textId="3D626E7D" w:rsidR="009765B7" w:rsidRPr="00F56725" w:rsidRDefault="00E410D4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2.178,00</w:t>
            </w:r>
          </w:p>
        </w:tc>
      </w:tr>
      <w:tr w:rsidR="009765B7" w:rsidRPr="00F56725" w14:paraId="213C82BE" w14:textId="77777777" w:rsidTr="009765B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528" w14:textId="77777777" w:rsidR="009765B7" w:rsidRPr="00F56725" w:rsidRDefault="009765B7" w:rsidP="000B4E73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25D" w14:textId="77777777" w:rsidR="009765B7" w:rsidRPr="00F56725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9765B7">
              <w:rPr>
                <w:lang w:val="ro-RO"/>
              </w:rPr>
              <w:t>Asistență Medicală Comunitară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3BE" w14:textId="77777777" w:rsidR="009765B7" w:rsidRPr="00F56725" w:rsidRDefault="009765B7" w:rsidP="000B4E7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E38" w14:textId="77777777" w:rsidR="009765B7" w:rsidRDefault="009765B7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4AE" w14:textId="555F58BA" w:rsidR="009765B7" w:rsidRPr="00F56725" w:rsidRDefault="004D6281" w:rsidP="000B4E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110,00</w:t>
            </w:r>
          </w:p>
        </w:tc>
      </w:tr>
    </w:tbl>
    <w:p w14:paraId="29706A19" w14:textId="77777777" w:rsidR="00C979B5" w:rsidRPr="00F56725" w:rsidRDefault="00C979B5" w:rsidP="00C979B5">
      <w:pPr>
        <w:rPr>
          <w:lang w:val="ro-RO"/>
        </w:rPr>
      </w:pPr>
      <w:r w:rsidRPr="00F56725">
        <w:rPr>
          <w:lang w:val="ro-RO"/>
        </w:rPr>
        <w:t xml:space="preserve">    </w:t>
      </w:r>
    </w:p>
    <w:p w14:paraId="58A307F7" w14:textId="77777777" w:rsidR="00DF0654" w:rsidRPr="00F56725" w:rsidRDefault="00DF0654" w:rsidP="00DF0654">
      <w:pPr>
        <w:rPr>
          <w:lang w:val="ro-RO"/>
        </w:rPr>
      </w:pPr>
    </w:p>
    <w:p w14:paraId="0F4245D6" w14:textId="2F93EB49" w:rsidR="00816BFD" w:rsidRPr="00F56725" w:rsidRDefault="00B03179" w:rsidP="00816BFD">
      <w:pPr>
        <w:rPr>
          <w:lang w:val="ro-RO"/>
        </w:rPr>
      </w:pPr>
      <w:r>
        <w:rPr>
          <w:lang w:val="ro-RO"/>
        </w:rPr>
        <w:t xml:space="preserve">  </w:t>
      </w:r>
      <w:r w:rsidR="00816BFD" w:rsidRPr="00F56725">
        <w:rPr>
          <w:lang w:val="ro-RO"/>
        </w:rPr>
        <w:t xml:space="preserve">       Primar,                                  </w:t>
      </w:r>
      <w:r w:rsidR="00816BFD">
        <w:rPr>
          <w:lang w:val="ro-RO"/>
        </w:rPr>
        <w:t>Director executiv,</w:t>
      </w:r>
      <w:r w:rsidR="00816BFD">
        <w:rPr>
          <w:lang w:val="ro-RO"/>
        </w:rPr>
        <w:tab/>
      </w:r>
      <w:r w:rsidR="00816BFD">
        <w:rPr>
          <w:lang w:val="ro-RO"/>
        </w:rPr>
        <w:tab/>
      </w:r>
      <w:r w:rsidR="00816BFD">
        <w:rPr>
          <w:lang w:val="ro-RO"/>
        </w:rPr>
        <w:tab/>
      </w:r>
      <w:r w:rsidR="00816BFD" w:rsidRPr="00F56725">
        <w:rPr>
          <w:lang w:val="ro-RO"/>
        </w:rPr>
        <w:t xml:space="preserve"> Consilier resurse umane,</w:t>
      </w:r>
      <w:r w:rsidR="00816BFD" w:rsidRPr="00F56725">
        <w:rPr>
          <w:lang w:val="ro-RO"/>
        </w:rPr>
        <w:tab/>
      </w:r>
    </w:p>
    <w:p w14:paraId="7C7DDEE8" w14:textId="471CB108" w:rsidR="00816BFD" w:rsidRPr="00F56725" w:rsidRDefault="00B03179" w:rsidP="00816BFD">
      <w:pPr>
        <w:rPr>
          <w:lang w:val="ro-RO"/>
        </w:rPr>
      </w:pPr>
      <w:r>
        <w:rPr>
          <w:lang w:val="ro-RO"/>
        </w:rPr>
        <w:t xml:space="preserve">   </w:t>
      </w:r>
      <w:r w:rsidR="00816BFD" w:rsidRPr="00F56725">
        <w:rPr>
          <w:lang w:val="ro-RO"/>
        </w:rPr>
        <w:t xml:space="preserve">Elena Valerica Lasconi                  </w:t>
      </w:r>
      <w:r w:rsidR="00816BFD">
        <w:rPr>
          <w:lang w:val="ro-RO"/>
        </w:rPr>
        <w:t xml:space="preserve">Violeta Iarca                                   </w:t>
      </w:r>
      <w:r w:rsidR="00816BFD" w:rsidRPr="00F56725">
        <w:rPr>
          <w:lang w:val="ro-RO"/>
        </w:rPr>
        <w:t xml:space="preserve"> </w:t>
      </w:r>
      <w:r w:rsidR="005F3A48">
        <w:rPr>
          <w:lang w:val="ro-RO"/>
        </w:rPr>
        <w:t>Claudia Pătran</w:t>
      </w:r>
      <w:r w:rsidR="00816BFD" w:rsidRPr="00F56725">
        <w:rPr>
          <w:lang w:val="ro-RO"/>
        </w:rPr>
        <w:t xml:space="preserve"> </w:t>
      </w:r>
      <w:r w:rsidR="00816BFD" w:rsidRPr="00F56725">
        <w:rPr>
          <w:lang w:val="ro-RO"/>
        </w:rPr>
        <w:tab/>
      </w:r>
      <w:r w:rsidR="00816BFD" w:rsidRPr="00F56725">
        <w:rPr>
          <w:lang w:val="ro-RO"/>
        </w:rPr>
        <w:tab/>
        <w:t xml:space="preserve">   </w:t>
      </w:r>
    </w:p>
    <w:p w14:paraId="03DD7085" w14:textId="77777777" w:rsidR="005F3A48" w:rsidRDefault="00816BFD" w:rsidP="00816BFD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</w:t>
      </w:r>
    </w:p>
    <w:p w14:paraId="61324E58" w14:textId="77777777" w:rsidR="005F3A48" w:rsidRDefault="005F3A48" w:rsidP="00816BFD">
      <w:pPr>
        <w:rPr>
          <w:lang w:val="ro-RO"/>
        </w:rPr>
      </w:pPr>
    </w:p>
    <w:p w14:paraId="61F4705D" w14:textId="77777777" w:rsidR="00816BFD" w:rsidRDefault="00816BFD" w:rsidP="005F3A48">
      <w:pPr>
        <w:ind w:left="6480" w:firstLine="720"/>
        <w:rPr>
          <w:lang w:val="ro-RO"/>
        </w:rPr>
      </w:pPr>
      <w:r w:rsidRPr="00F56725">
        <w:rPr>
          <w:lang w:val="ro-RO"/>
        </w:rPr>
        <w:t>Inspector</w:t>
      </w:r>
      <w:r>
        <w:rPr>
          <w:lang w:val="ro-RO"/>
        </w:rPr>
        <w:t>,</w:t>
      </w:r>
    </w:p>
    <w:p w14:paraId="79879D49" w14:textId="77777777" w:rsidR="00C979B5" w:rsidRPr="00F56725" w:rsidRDefault="00816BFD" w:rsidP="00816BFD">
      <w:pPr>
        <w:ind w:left="5760" w:firstLine="720"/>
        <w:rPr>
          <w:b/>
          <w:bCs/>
          <w:lang w:val="ro-RO"/>
        </w:rPr>
      </w:pPr>
      <w:r>
        <w:rPr>
          <w:lang w:val="ro-RO"/>
        </w:rPr>
        <w:t xml:space="preserve">    </w:t>
      </w:r>
      <w:r w:rsidRPr="00F56725">
        <w:rPr>
          <w:lang w:val="ro-RO"/>
        </w:rPr>
        <w:t>Roxana-Maria Caplan</w:t>
      </w:r>
    </w:p>
    <w:sectPr w:rsidR="00C979B5" w:rsidRPr="00F56725" w:rsidSect="00B03179">
      <w:pgSz w:w="12240" w:h="15840"/>
      <w:pgMar w:top="993" w:right="960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9"/>
    <w:rsid w:val="00031D07"/>
    <w:rsid w:val="000927B7"/>
    <w:rsid w:val="000A11EC"/>
    <w:rsid w:val="000B0A06"/>
    <w:rsid w:val="000B4E73"/>
    <w:rsid w:val="000C2D45"/>
    <w:rsid w:val="0014359C"/>
    <w:rsid w:val="00165680"/>
    <w:rsid w:val="00261371"/>
    <w:rsid w:val="00283236"/>
    <w:rsid w:val="002A0A07"/>
    <w:rsid w:val="002E5CB0"/>
    <w:rsid w:val="002E5D58"/>
    <w:rsid w:val="00312B05"/>
    <w:rsid w:val="0036521F"/>
    <w:rsid w:val="00380893"/>
    <w:rsid w:val="00432306"/>
    <w:rsid w:val="004602A1"/>
    <w:rsid w:val="00462705"/>
    <w:rsid w:val="004B7A8F"/>
    <w:rsid w:val="004D6281"/>
    <w:rsid w:val="00576717"/>
    <w:rsid w:val="005C4AC6"/>
    <w:rsid w:val="005F3A48"/>
    <w:rsid w:val="00676886"/>
    <w:rsid w:val="006F4404"/>
    <w:rsid w:val="00710F88"/>
    <w:rsid w:val="00793D5D"/>
    <w:rsid w:val="007A33FD"/>
    <w:rsid w:val="007F0A63"/>
    <w:rsid w:val="007F0CA6"/>
    <w:rsid w:val="00806B38"/>
    <w:rsid w:val="00816BFD"/>
    <w:rsid w:val="00824F62"/>
    <w:rsid w:val="00826880"/>
    <w:rsid w:val="008D0A9B"/>
    <w:rsid w:val="008E07EF"/>
    <w:rsid w:val="008E269A"/>
    <w:rsid w:val="008F5831"/>
    <w:rsid w:val="008F66A3"/>
    <w:rsid w:val="008F7889"/>
    <w:rsid w:val="00957CA0"/>
    <w:rsid w:val="009765B7"/>
    <w:rsid w:val="00990497"/>
    <w:rsid w:val="009A4B73"/>
    <w:rsid w:val="009D4081"/>
    <w:rsid w:val="00A901D3"/>
    <w:rsid w:val="00AA4267"/>
    <w:rsid w:val="00AC2EA1"/>
    <w:rsid w:val="00B03179"/>
    <w:rsid w:val="00B54514"/>
    <w:rsid w:val="00B746FC"/>
    <w:rsid w:val="00BB3217"/>
    <w:rsid w:val="00C36D41"/>
    <w:rsid w:val="00C66BB0"/>
    <w:rsid w:val="00C71E79"/>
    <w:rsid w:val="00C8199F"/>
    <w:rsid w:val="00C96D25"/>
    <w:rsid w:val="00C979B5"/>
    <w:rsid w:val="00CF072C"/>
    <w:rsid w:val="00D774E2"/>
    <w:rsid w:val="00D90B56"/>
    <w:rsid w:val="00DA30D3"/>
    <w:rsid w:val="00DF0654"/>
    <w:rsid w:val="00E0240F"/>
    <w:rsid w:val="00E410D4"/>
    <w:rsid w:val="00E41B38"/>
    <w:rsid w:val="00E9389E"/>
    <w:rsid w:val="00EB72AB"/>
    <w:rsid w:val="00F40430"/>
    <w:rsid w:val="00F51F74"/>
    <w:rsid w:val="00F56725"/>
    <w:rsid w:val="00FC0FBE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41C0"/>
  <w15:docId w15:val="{B7128D11-43AB-4D9E-830C-7CB1AF6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0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privind numărul de personal, precum şi fondul de salarii de bază aprobate conform prevederilor OUG 63 / 2010 pentru modificarea şi completarea Legii nr</vt:lpstr>
    </vt:vector>
  </TitlesOfParts>
  <Company>Primaria Campulung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privind numărul de personal, precum şi fondul de salarii de bază aprobate conform prevederilor OUG 63 / 2010 pentru modificarea şi completarea Legii nr</dc:title>
  <dc:creator>Mocanu Maria</dc:creator>
  <cp:lastModifiedBy>Radu Gabriel</cp:lastModifiedBy>
  <cp:revision>3</cp:revision>
  <cp:lastPrinted>2026-05-18T05:43:00Z</cp:lastPrinted>
  <dcterms:created xsi:type="dcterms:W3CDTF">2026-05-18T10:51:00Z</dcterms:created>
  <dcterms:modified xsi:type="dcterms:W3CDTF">2026-05-18T10:51:00Z</dcterms:modified>
</cp:coreProperties>
</file>