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2D6B3D">
      <w:pPr>
        <w:spacing w:after="0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34AA0198">
      <w:pPr>
        <w:spacing w:after="0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15171F09">
      <w:pPr>
        <w:spacing w:after="0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Principalii indicatori tehnico-economici aferenti obiectivului de investitii:</w:t>
      </w:r>
    </w:p>
    <w:p w14:paraId="04001F64">
      <w:pPr>
        <w:spacing w:after="0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,,AMENAJARE LOC DE JOACA IN SATUL COPUZU, COMUNA BALACIU”</w:t>
      </w:r>
    </w:p>
    <w:p w14:paraId="0AF3C25D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C133560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C894204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a) indicatori maximali, respectiv valoarea totala a obiectului de investitii, exprimata in lei, cu TVA si, respectiv, fara TVA, din care constructii-montaj (C+M), in </w:t>
      </w:r>
      <w:r>
        <w:rPr>
          <w:rFonts w:ascii="Arial" w:hAnsi="Arial" w:cs="Arial"/>
          <w:b/>
          <w:sz w:val="24"/>
          <w:szCs w:val="24"/>
        </w:rPr>
        <w:t>conformitate cu devizul general;</w:t>
      </w:r>
    </w:p>
    <w:p w14:paraId="249DBC1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Valoarea totala a obiectivului de investitii este de 178.007,04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lei fara TVA, respectiv 209.2</w:t>
      </w:r>
      <w:r>
        <w:rPr>
          <w:rFonts w:hint="default" w:ascii="Arial" w:hAnsi="Arial" w:cs="Arial"/>
          <w:sz w:val="24"/>
          <w:szCs w:val="24"/>
          <w:lang w:val="en-US"/>
        </w:rPr>
        <w:t>07</w:t>
      </w:r>
      <w:r>
        <w:rPr>
          <w:rFonts w:ascii="Arial" w:hAnsi="Arial" w:cs="Arial"/>
          <w:sz w:val="24"/>
          <w:szCs w:val="24"/>
        </w:rPr>
        <w:t>,</w:t>
      </w:r>
      <w:r>
        <w:rPr>
          <w:rFonts w:hint="default" w:ascii="Arial" w:hAnsi="Arial" w:cs="Arial"/>
          <w:sz w:val="24"/>
          <w:szCs w:val="24"/>
          <w:lang w:val="en-US"/>
        </w:rPr>
        <w:t>83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lei cu TVA, din care constructii montaj (C+M): 82.117,29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lei fara TVA, respectiv 97.719,57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lei cu TVA.</w:t>
      </w:r>
    </w:p>
    <w:p w14:paraId="66D02CB4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D729B0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b) indicatori minimali, respectiv indicatori de performanta - elemente fizice/ capacitati fizice care sa indice atingerea tintei obiectivului de investitii - si, dupa caz, calitativi, in conformitate cu standardele, normativele si reglementarile tehnice in vigoare;</w:t>
      </w:r>
    </w:p>
    <w:p w14:paraId="52BA940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>Pentru atingerea scopului de realizare a obiectivului de investitii, s-au propus urmatoarele:</w:t>
      </w:r>
    </w:p>
    <w:p w14:paraId="13932F6B">
      <w:pPr>
        <w:pStyle w:val="14"/>
        <w:numPr>
          <w:ilvl w:val="0"/>
          <w:numId w:val="1"/>
        </w:numPr>
        <w:tabs>
          <w:tab w:val="left" w:pos="1800"/>
        </w:tabs>
        <w:spacing w:line="276" w:lineRule="auto"/>
        <w:ind w:left="0" w:firstLine="1440"/>
        <w:jc w:val="both"/>
        <w:rPr>
          <w:color w:val="auto"/>
        </w:rPr>
      </w:pPr>
      <w:r>
        <w:rPr>
          <w:color w:val="auto"/>
        </w:rPr>
        <w:t>imprejmuiri pe laturile NV, N si E, in lungime totala L=86,2m</w:t>
      </w:r>
    </w:p>
    <w:p w14:paraId="79F6A672">
      <w:pPr>
        <w:pStyle w:val="14"/>
        <w:numPr>
          <w:ilvl w:val="0"/>
          <w:numId w:val="1"/>
        </w:numPr>
        <w:tabs>
          <w:tab w:val="left" w:pos="1800"/>
        </w:tabs>
        <w:spacing w:line="276" w:lineRule="auto"/>
        <w:ind w:left="0" w:firstLine="1440"/>
        <w:jc w:val="both"/>
        <w:rPr>
          <w:color w:val="auto"/>
        </w:rPr>
      </w:pPr>
      <w:r>
        <w:rPr>
          <w:color w:val="auto"/>
        </w:rPr>
        <w:t>dotare si montare echipamente de joaca:</w:t>
      </w:r>
    </w:p>
    <w:p w14:paraId="7C3CB589">
      <w:pPr>
        <w:pStyle w:val="14"/>
        <w:numPr>
          <w:ilvl w:val="0"/>
          <w:numId w:val="2"/>
        </w:numPr>
        <w:tabs>
          <w:tab w:val="left" w:pos="1800"/>
        </w:tabs>
        <w:spacing w:line="276" w:lineRule="auto"/>
        <w:ind w:firstLine="0"/>
        <w:jc w:val="both"/>
        <w:rPr>
          <w:color w:val="auto"/>
        </w:rPr>
      </w:pPr>
      <w:r>
        <w:rPr>
          <w:color w:val="auto"/>
        </w:rPr>
        <w:t>1 complex de joaca</w:t>
      </w:r>
    </w:p>
    <w:p w14:paraId="7D954155">
      <w:pPr>
        <w:pStyle w:val="14"/>
        <w:numPr>
          <w:ilvl w:val="0"/>
          <w:numId w:val="2"/>
        </w:numPr>
        <w:tabs>
          <w:tab w:val="left" w:pos="1800"/>
        </w:tabs>
        <w:spacing w:line="276" w:lineRule="auto"/>
        <w:ind w:firstLine="0"/>
        <w:jc w:val="both"/>
        <w:rPr>
          <w:color w:val="auto"/>
        </w:rPr>
      </w:pPr>
      <w:r>
        <w:rPr>
          <w:color w:val="auto"/>
        </w:rPr>
        <w:t>2 leagane</w:t>
      </w:r>
    </w:p>
    <w:p w14:paraId="5471EA99">
      <w:pPr>
        <w:pStyle w:val="14"/>
        <w:numPr>
          <w:ilvl w:val="0"/>
          <w:numId w:val="2"/>
        </w:numPr>
        <w:tabs>
          <w:tab w:val="left" w:pos="1800"/>
        </w:tabs>
        <w:spacing w:line="276" w:lineRule="auto"/>
        <w:ind w:firstLine="0"/>
        <w:jc w:val="both"/>
        <w:rPr>
          <w:color w:val="auto"/>
        </w:rPr>
      </w:pPr>
      <w:r>
        <w:rPr>
          <w:color w:val="auto"/>
        </w:rPr>
        <w:t>2 animale cu arc</w:t>
      </w:r>
    </w:p>
    <w:p w14:paraId="4C29450A">
      <w:pPr>
        <w:pStyle w:val="14"/>
        <w:numPr>
          <w:ilvl w:val="0"/>
          <w:numId w:val="2"/>
        </w:numPr>
        <w:tabs>
          <w:tab w:val="left" w:pos="1800"/>
        </w:tabs>
        <w:spacing w:line="276" w:lineRule="auto"/>
        <w:ind w:firstLine="0"/>
        <w:jc w:val="both"/>
        <w:rPr>
          <w:color w:val="auto"/>
        </w:rPr>
      </w:pPr>
      <w:r>
        <w:rPr>
          <w:color w:val="auto"/>
        </w:rPr>
        <w:t xml:space="preserve">2 balansoare                                    </w:t>
      </w:r>
    </w:p>
    <w:p w14:paraId="6CF661F1">
      <w:pPr>
        <w:pStyle w:val="14"/>
        <w:numPr>
          <w:ilvl w:val="0"/>
          <w:numId w:val="1"/>
        </w:numPr>
        <w:tabs>
          <w:tab w:val="left" w:pos="1800"/>
        </w:tabs>
        <w:spacing w:line="276" w:lineRule="auto"/>
        <w:ind w:left="0" w:firstLine="1440"/>
        <w:jc w:val="both"/>
        <w:rPr>
          <w:color w:val="auto"/>
        </w:rPr>
      </w:pPr>
      <w:r>
        <w:rPr>
          <w:color w:val="auto"/>
        </w:rPr>
        <w:t>dotare si montare mobilier urban</w:t>
      </w:r>
    </w:p>
    <w:p w14:paraId="5A083D4A">
      <w:pPr>
        <w:pStyle w:val="14"/>
        <w:numPr>
          <w:ilvl w:val="0"/>
          <w:numId w:val="2"/>
        </w:numPr>
        <w:tabs>
          <w:tab w:val="left" w:pos="1800"/>
        </w:tabs>
        <w:spacing w:line="276" w:lineRule="auto"/>
        <w:ind w:firstLine="0"/>
        <w:jc w:val="both"/>
        <w:rPr>
          <w:color w:val="auto"/>
        </w:rPr>
      </w:pPr>
      <w:r>
        <w:rPr>
          <w:color w:val="auto"/>
        </w:rPr>
        <w:t>4 banci cu spatar</w:t>
      </w:r>
    </w:p>
    <w:p w14:paraId="162F147E">
      <w:pPr>
        <w:pStyle w:val="14"/>
        <w:numPr>
          <w:ilvl w:val="0"/>
          <w:numId w:val="2"/>
        </w:numPr>
        <w:tabs>
          <w:tab w:val="left" w:pos="1800"/>
        </w:tabs>
        <w:spacing w:line="276" w:lineRule="auto"/>
        <w:ind w:firstLine="0"/>
        <w:jc w:val="both"/>
        <w:rPr>
          <w:color w:val="auto"/>
        </w:rPr>
      </w:pPr>
      <w:r>
        <w:rPr>
          <w:color w:val="auto"/>
        </w:rPr>
        <w:t>4 cosuri de gunoi</w:t>
      </w:r>
    </w:p>
    <w:p w14:paraId="5DF7DCA9">
      <w:pPr>
        <w:pStyle w:val="14"/>
        <w:numPr>
          <w:ilvl w:val="0"/>
          <w:numId w:val="2"/>
        </w:numPr>
        <w:tabs>
          <w:tab w:val="left" w:pos="1800"/>
        </w:tabs>
        <w:spacing w:line="276" w:lineRule="auto"/>
        <w:ind w:firstLine="0"/>
        <w:jc w:val="both"/>
        <w:rPr>
          <w:color w:val="auto"/>
        </w:rPr>
      </w:pPr>
      <w:r>
        <w:rPr>
          <w:color w:val="auto"/>
        </w:rPr>
        <w:t>5 stalpi cu corpuri de iluminat LED</w:t>
      </w:r>
    </w:p>
    <w:p w14:paraId="38964ECD">
      <w:pPr>
        <w:pStyle w:val="14"/>
        <w:numPr>
          <w:ilvl w:val="0"/>
          <w:numId w:val="1"/>
        </w:numPr>
        <w:tabs>
          <w:tab w:val="left" w:pos="1800"/>
        </w:tabs>
        <w:spacing w:line="276" w:lineRule="auto"/>
        <w:ind w:left="0" w:firstLine="1440"/>
        <w:jc w:val="both"/>
        <w:rPr>
          <w:color w:val="auto"/>
        </w:rPr>
      </w:pPr>
      <w:r>
        <w:rPr>
          <w:color w:val="auto"/>
        </w:rPr>
        <w:t xml:space="preserve">suprafata de joaca, S = 390 m²,  </w:t>
      </w:r>
    </w:p>
    <w:p w14:paraId="5917E8BC">
      <w:pPr>
        <w:pStyle w:val="14"/>
        <w:numPr>
          <w:ilvl w:val="0"/>
          <w:numId w:val="1"/>
        </w:numPr>
        <w:tabs>
          <w:tab w:val="left" w:pos="1800"/>
        </w:tabs>
        <w:spacing w:line="276" w:lineRule="auto"/>
        <w:ind w:left="0" w:firstLine="1440"/>
        <w:jc w:val="both"/>
        <w:rPr>
          <w:color w:val="auto"/>
        </w:rPr>
      </w:pPr>
      <w:r>
        <w:rPr>
          <w:color w:val="auto"/>
        </w:rPr>
        <w:t xml:space="preserve">alei betonate S = 145 m²,  </w:t>
      </w:r>
    </w:p>
    <w:p w14:paraId="0D595954">
      <w:pPr>
        <w:pStyle w:val="14"/>
        <w:numPr>
          <w:ilvl w:val="0"/>
          <w:numId w:val="1"/>
        </w:numPr>
        <w:tabs>
          <w:tab w:val="left" w:pos="1800"/>
        </w:tabs>
        <w:spacing w:line="276" w:lineRule="auto"/>
        <w:ind w:left="0" w:firstLine="1440"/>
        <w:jc w:val="both"/>
        <w:rPr>
          <w:color w:val="auto"/>
        </w:rPr>
      </w:pPr>
      <w:r>
        <w:rPr>
          <w:color w:val="auto"/>
        </w:rPr>
        <w:t>spatiu verde, S = 180 m²</w:t>
      </w:r>
    </w:p>
    <w:p w14:paraId="25801B78">
      <w:pPr>
        <w:pStyle w:val="14"/>
        <w:tabs>
          <w:tab w:val="left" w:pos="1800"/>
        </w:tabs>
        <w:spacing w:line="276" w:lineRule="auto"/>
        <w:ind w:firstLine="720"/>
        <w:jc w:val="both"/>
        <w:rPr>
          <w:color w:val="auto"/>
        </w:rPr>
      </w:pPr>
      <w:r>
        <w:rPr>
          <w:color w:val="auto"/>
        </w:rPr>
        <w:t>Suprafata totala proiectata: 715m²</w:t>
      </w:r>
    </w:p>
    <w:p w14:paraId="5A9E4433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FF0000"/>
          <w:sz w:val="24"/>
          <w:szCs w:val="24"/>
        </w:rPr>
      </w:pPr>
    </w:p>
    <w:p w14:paraId="721C713B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>c) indicatori financiari, socio-economici, de impact, de rezultat/operare, stabiliti in functie de specificul si tinta fiecarui obiectiv de investitii;</w:t>
      </w:r>
    </w:p>
    <w:p w14:paraId="5A01081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Din punct de vedere economic, realizarea investitiei contribuie la bunastarea economica a comunitatii locale. Aceasta este efectuata in numele intregii comunitati si nu in numele proprietarului infrastructurii, asa cum reiese si din cadrul analizei financiare sus-precizate.</w:t>
      </w:r>
    </w:p>
    <w:p w14:paraId="21AC3C06">
      <w:pPr>
        <w:autoSpaceDE w:val="0"/>
        <w:autoSpaceDN w:val="0"/>
        <w:adjustRightInd w:val="0"/>
        <w:spacing w:before="240" w:after="0"/>
        <w:jc w:val="both"/>
        <w:rPr>
          <w:rFonts w:ascii="Arial" w:hAnsi="Arial" w:cs="Arial"/>
          <w:b/>
          <w:sz w:val="24"/>
          <w:szCs w:val="24"/>
        </w:rPr>
      </w:pPr>
    </w:p>
    <w:p w14:paraId="4E2C18E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d) durata estimata de executie a obiectivului de investitii, exprimata in luni.</w:t>
      </w:r>
    </w:p>
    <w:p w14:paraId="7C8689A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Durata estimata de executie a obiectivului de investitii este definita in H.G.R. nr. 907/2016, ca fiind perioada cuprinsa intre data stabilita de investitor pentru inceperea lucrarilor de executie si comunicata executantului si data incheierii procesului-verbal privind admiterea receptiei la terminarea lucrarilor. Aceasta durata a fost estimata la 5 saptamani. Pentru realizarea integrala a obiectivului s-a prevazut o durata de </w:t>
      </w:r>
      <w:r>
        <w:rPr>
          <w:rFonts w:ascii="Arial" w:hAnsi="Arial" w:cs="Arial"/>
          <w:bCs/>
          <w:sz w:val="24"/>
          <w:szCs w:val="24"/>
        </w:rPr>
        <w:t>3 luni calendaristice. In aceasta perioada s-a inclus timpul necesar pentru elaborarea documentatiilor tehnice, obtinerea avizelor si acordurilor necesare obtinerii autorizatiei de construire, precum si pentru achizitii/  contractare.</w:t>
      </w:r>
    </w:p>
    <w:p w14:paraId="3EE3F64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41C3F63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1C905E5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05DF1D59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Data                                                                     Intocmit</w:t>
      </w:r>
    </w:p>
    <w:p w14:paraId="4841F42B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Iunie 2025                                                        ing. Florin TRIFAN</w:t>
      </w:r>
    </w:p>
    <w:sectPr>
      <w:footerReference r:id="rId5" w:type="default"/>
      <w:pgSz w:w="12240" w:h="15840"/>
      <w:pgMar w:top="1080" w:right="720" w:bottom="99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8713391"/>
      <w:docPartObj>
        <w:docPartGallery w:val="AutoText"/>
      </w:docPartObj>
    </w:sdtPr>
    <w:sdtContent>
      <w:p w14:paraId="434F0A91">
        <w:pPr>
          <w:pStyle w:val="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AD25B2"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5C6FD4"/>
    <w:multiLevelType w:val="multilevel"/>
    <w:tmpl w:val="6F5C6FD4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797421EB"/>
    <w:multiLevelType w:val="multilevel"/>
    <w:tmpl w:val="797421EB"/>
    <w:lvl w:ilvl="0" w:tentative="0">
      <w:start w:val="4"/>
      <w:numFmt w:val="bullet"/>
      <w:lvlText w:val="-"/>
      <w:lvlJc w:val="left"/>
      <w:pPr>
        <w:ind w:left="1800" w:hanging="360"/>
      </w:pPr>
      <w:rPr>
        <w:rFonts w:hint="default" w:ascii="Arial" w:hAnsi="Arial" w:cs="Arial" w:eastAsiaTheme="minorEastAsia"/>
      </w:rPr>
    </w:lvl>
    <w:lvl w:ilvl="1" w:tentative="0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hideSpellingErrors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A90842"/>
    <w:rsid w:val="000019A8"/>
    <w:rsid w:val="000028F0"/>
    <w:rsid w:val="000029AB"/>
    <w:rsid w:val="00003087"/>
    <w:rsid w:val="000061E4"/>
    <w:rsid w:val="00015D10"/>
    <w:rsid w:val="000177F0"/>
    <w:rsid w:val="00022C30"/>
    <w:rsid w:val="000431ED"/>
    <w:rsid w:val="00063827"/>
    <w:rsid w:val="00065D4A"/>
    <w:rsid w:val="00066E21"/>
    <w:rsid w:val="00067797"/>
    <w:rsid w:val="00072FF2"/>
    <w:rsid w:val="00081FAA"/>
    <w:rsid w:val="000866BB"/>
    <w:rsid w:val="00090354"/>
    <w:rsid w:val="0009332B"/>
    <w:rsid w:val="0009599D"/>
    <w:rsid w:val="00097D96"/>
    <w:rsid w:val="000A486C"/>
    <w:rsid w:val="000C0C6D"/>
    <w:rsid w:val="000C1E3D"/>
    <w:rsid w:val="000C25E7"/>
    <w:rsid w:val="000C3529"/>
    <w:rsid w:val="000C62F9"/>
    <w:rsid w:val="000D11FE"/>
    <w:rsid w:val="000D695D"/>
    <w:rsid w:val="000D6B39"/>
    <w:rsid w:val="000F1C25"/>
    <w:rsid w:val="000F2BBE"/>
    <w:rsid w:val="00103FFA"/>
    <w:rsid w:val="001046B3"/>
    <w:rsid w:val="001107A8"/>
    <w:rsid w:val="00113081"/>
    <w:rsid w:val="001145F8"/>
    <w:rsid w:val="001160E5"/>
    <w:rsid w:val="00120AD8"/>
    <w:rsid w:val="0012265E"/>
    <w:rsid w:val="0012273C"/>
    <w:rsid w:val="00122F97"/>
    <w:rsid w:val="0012456E"/>
    <w:rsid w:val="0014560C"/>
    <w:rsid w:val="001527A3"/>
    <w:rsid w:val="00152BD8"/>
    <w:rsid w:val="00153005"/>
    <w:rsid w:val="00156255"/>
    <w:rsid w:val="00164DE8"/>
    <w:rsid w:val="001706B8"/>
    <w:rsid w:val="00171439"/>
    <w:rsid w:val="001725F8"/>
    <w:rsid w:val="00174B26"/>
    <w:rsid w:val="001776AB"/>
    <w:rsid w:val="0018072C"/>
    <w:rsid w:val="00195B03"/>
    <w:rsid w:val="00196CD8"/>
    <w:rsid w:val="001A7421"/>
    <w:rsid w:val="001B21FB"/>
    <w:rsid w:val="001B22AF"/>
    <w:rsid w:val="001B55D0"/>
    <w:rsid w:val="001C3F05"/>
    <w:rsid w:val="001D5207"/>
    <w:rsid w:val="001D59C2"/>
    <w:rsid w:val="001E5DA8"/>
    <w:rsid w:val="001E7AFD"/>
    <w:rsid w:val="001F0DDD"/>
    <w:rsid w:val="002068B5"/>
    <w:rsid w:val="002155EE"/>
    <w:rsid w:val="00217EFB"/>
    <w:rsid w:val="00227A19"/>
    <w:rsid w:val="00233F73"/>
    <w:rsid w:val="002405A2"/>
    <w:rsid w:val="00245B03"/>
    <w:rsid w:val="00253D18"/>
    <w:rsid w:val="002541FA"/>
    <w:rsid w:val="00255795"/>
    <w:rsid w:val="00273058"/>
    <w:rsid w:val="002740A6"/>
    <w:rsid w:val="002862EB"/>
    <w:rsid w:val="00292BED"/>
    <w:rsid w:val="002932BB"/>
    <w:rsid w:val="00294894"/>
    <w:rsid w:val="002D0CE1"/>
    <w:rsid w:val="002D1735"/>
    <w:rsid w:val="002D2645"/>
    <w:rsid w:val="002D344E"/>
    <w:rsid w:val="002D6D35"/>
    <w:rsid w:val="002E122A"/>
    <w:rsid w:val="002E29EC"/>
    <w:rsid w:val="002E6E63"/>
    <w:rsid w:val="002F292D"/>
    <w:rsid w:val="002F4EDB"/>
    <w:rsid w:val="002F5C45"/>
    <w:rsid w:val="00300E53"/>
    <w:rsid w:val="003103E1"/>
    <w:rsid w:val="00310BE8"/>
    <w:rsid w:val="003114B6"/>
    <w:rsid w:val="0031226D"/>
    <w:rsid w:val="00320FA1"/>
    <w:rsid w:val="00322D8E"/>
    <w:rsid w:val="00336AAA"/>
    <w:rsid w:val="00341216"/>
    <w:rsid w:val="00342863"/>
    <w:rsid w:val="0034459C"/>
    <w:rsid w:val="00345EC7"/>
    <w:rsid w:val="00346643"/>
    <w:rsid w:val="00350F9B"/>
    <w:rsid w:val="00355451"/>
    <w:rsid w:val="00367739"/>
    <w:rsid w:val="00370AF5"/>
    <w:rsid w:val="003742BE"/>
    <w:rsid w:val="00377F59"/>
    <w:rsid w:val="00382BA9"/>
    <w:rsid w:val="00384D5E"/>
    <w:rsid w:val="003862D9"/>
    <w:rsid w:val="003A0197"/>
    <w:rsid w:val="003B2873"/>
    <w:rsid w:val="003B701E"/>
    <w:rsid w:val="003C2DAC"/>
    <w:rsid w:val="003C5297"/>
    <w:rsid w:val="003E6BDF"/>
    <w:rsid w:val="003F0C2D"/>
    <w:rsid w:val="003F30B7"/>
    <w:rsid w:val="00405FD1"/>
    <w:rsid w:val="004144AA"/>
    <w:rsid w:val="00416376"/>
    <w:rsid w:val="00423D47"/>
    <w:rsid w:val="004257D7"/>
    <w:rsid w:val="00430C5E"/>
    <w:rsid w:val="00431AC1"/>
    <w:rsid w:val="004321A4"/>
    <w:rsid w:val="00435F75"/>
    <w:rsid w:val="00440242"/>
    <w:rsid w:val="00441847"/>
    <w:rsid w:val="00452443"/>
    <w:rsid w:val="0046038A"/>
    <w:rsid w:val="0047233A"/>
    <w:rsid w:val="00481FCD"/>
    <w:rsid w:val="0048534D"/>
    <w:rsid w:val="00485ADA"/>
    <w:rsid w:val="0049197F"/>
    <w:rsid w:val="00491F8D"/>
    <w:rsid w:val="0049561F"/>
    <w:rsid w:val="004A064A"/>
    <w:rsid w:val="004B0EAB"/>
    <w:rsid w:val="004B71A8"/>
    <w:rsid w:val="004C41C7"/>
    <w:rsid w:val="004D0DBB"/>
    <w:rsid w:val="004D3210"/>
    <w:rsid w:val="004E0DFB"/>
    <w:rsid w:val="004E6D28"/>
    <w:rsid w:val="004F4A54"/>
    <w:rsid w:val="00500BDB"/>
    <w:rsid w:val="00510F84"/>
    <w:rsid w:val="005209DF"/>
    <w:rsid w:val="005256CB"/>
    <w:rsid w:val="00527551"/>
    <w:rsid w:val="00541265"/>
    <w:rsid w:val="00546979"/>
    <w:rsid w:val="00563FBB"/>
    <w:rsid w:val="00573AF6"/>
    <w:rsid w:val="0057525B"/>
    <w:rsid w:val="00577722"/>
    <w:rsid w:val="00582751"/>
    <w:rsid w:val="00585520"/>
    <w:rsid w:val="00595B17"/>
    <w:rsid w:val="00596B06"/>
    <w:rsid w:val="00597C94"/>
    <w:rsid w:val="005A3AA6"/>
    <w:rsid w:val="005A5B35"/>
    <w:rsid w:val="005A7E6C"/>
    <w:rsid w:val="005B42E5"/>
    <w:rsid w:val="005B650F"/>
    <w:rsid w:val="005B77C7"/>
    <w:rsid w:val="005B7892"/>
    <w:rsid w:val="005C2457"/>
    <w:rsid w:val="005D457B"/>
    <w:rsid w:val="005E1ABF"/>
    <w:rsid w:val="005E7701"/>
    <w:rsid w:val="005F0394"/>
    <w:rsid w:val="005F6EB5"/>
    <w:rsid w:val="00600378"/>
    <w:rsid w:val="00601439"/>
    <w:rsid w:val="00610384"/>
    <w:rsid w:val="006204A1"/>
    <w:rsid w:val="00626BDD"/>
    <w:rsid w:val="006527A2"/>
    <w:rsid w:val="00652C19"/>
    <w:rsid w:val="00656DA2"/>
    <w:rsid w:val="00665FB3"/>
    <w:rsid w:val="006709E3"/>
    <w:rsid w:val="00692FBC"/>
    <w:rsid w:val="006A0F3C"/>
    <w:rsid w:val="006A1E7A"/>
    <w:rsid w:val="006A315C"/>
    <w:rsid w:val="006A7B9D"/>
    <w:rsid w:val="006B02D6"/>
    <w:rsid w:val="006B1F89"/>
    <w:rsid w:val="006C31C9"/>
    <w:rsid w:val="006C5636"/>
    <w:rsid w:val="006D1467"/>
    <w:rsid w:val="006D7F79"/>
    <w:rsid w:val="006E37DD"/>
    <w:rsid w:val="006E3E5B"/>
    <w:rsid w:val="006E76AB"/>
    <w:rsid w:val="006F1493"/>
    <w:rsid w:val="006F268F"/>
    <w:rsid w:val="006F6861"/>
    <w:rsid w:val="006F7727"/>
    <w:rsid w:val="00704033"/>
    <w:rsid w:val="00704A3C"/>
    <w:rsid w:val="0070657D"/>
    <w:rsid w:val="007167A8"/>
    <w:rsid w:val="00726E27"/>
    <w:rsid w:val="00734C8C"/>
    <w:rsid w:val="007364AD"/>
    <w:rsid w:val="00740BC5"/>
    <w:rsid w:val="00742B07"/>
    <w:rsid w:val="00747547"/>
    <w:rsid w:val="00752737"/>
    <w:rsid w:val="00756147"/>
    <w:rsid w:val="0077154D"/>
    <w:rsid w:val="0077362A"/>
    <w:rsid w:val="00775774"/>
    <w:rsid w:val="007769A4"/>
    <w:rsid w:val="007818C4"/>
    <w:rsid w:val="007A08A9"/>
    <w:rsid w:val="007A711D"/>
    <w:rsid w:val="007B1EB1"/>
    <w:rsid w:val="007B4564"/>
    <w:rsid w:val="007C3555"/>
    <w:rsid w:val="007C3C41"/>
    <w:rsid w:val="007D0055"/>
    <w:rsid w:val="007E3B8F"/>
    <w:rsid w:val="007E5C33"/>
    <w:rsid w:val="007F651E"/>
    <w:rsid w:val="00800D3D"/>
    <w:rsid w:val="00803B48"/>
    <w:rsid w:val="00805CA7"/>
    <w:rsid w:val="00831B71"/>
    <w:rsid w:val="00843A88"/>
    <w:rsid w:val="008452C3"/>
    <w:rsid w:val="00846F64"/>
    <w:rsid w:val="00847E9B"/>
    <w:rsid w:val="0085118E"/>
    <w:rsid w:val="0085158B"/>
    <w:rsid w:val="00852DCC"/>
    <w:rsid w:val="00862F2C"/>
    <w:rsid w:val="00867E95"/>
    <w:rsid w:val="00870CF3"/>
    <w:rsid w:val="0088108E"/>
    <w:rsid w:val="00892C47"/>
    <w:rsid w:val="00897896"/>
    <w:rsid w:val="008A0A93"/>
    <w:rsid w:val="008A0BE7"/>
    <w:rsid w:val="008C7DED"/>
    <w:rsid w:val="008D1649"/>
    <w:rsid w:val="008D46FE"/>
    <w:rsid w:val="008E4493"/>
    <w:rsid w:val="00900786"/>
    <w:rsid w:val="00905B8D"/>
    <w:rsid w:val="00913C60"/>
    <w:rsid w:val="00922CA2"/>
    <w:rsid w:val="009301E6"/>
    <w:rsid w:val="00932A93"/>
    <w:rsid w:val="00933E7A"/>
    <w:rsid w:val="00936428"/>
    <w:rsid w:val="009445FB"/>
    <w:rsid w:val="009512E8"/>
    <w:rsid w:val="009572DE"/>
    <w:rsid w:val="00960A5D"/>
    <w:rsid w:val="00964E15"/>
    <w:rsid w:val="00967273"/>
    <w:rsid w:val="009761EE"/>
    <w:rsid w:val="00990E95"/>
    <w:rsid w:val="0099658E"/>
    <w:rsid w:val="00997AAB"/>
    <w:rsid w:val="009A0720"/>
    <w:rsid w:val="009A0739"/>
    <w:rsid w:val="009A4A5E"/>
    <w:rsid w:val="009B02BA"/>
    <w:rsid w:val="009B2925"/>
    <w:rsid w:val="009B31D0"/>
    <w:rsid w:val="009C13B0"/>
    <w:rsid w:val="009C42DD"/>
    <w:rsid w:val="009C4B0D"/>
    <w:rsid w:val="009C4E17"/>
    <w:rsid w:val="009D1199"/>
    <w:rsid w:val="009D1EA8"/>
    <w:rsid w:val="009D7FD5"/>
    <w:rsid w:val="009F5AAD"/>
    <w:rsid w:val="00A026CC"/>
    <w:rsid w:val="00A05BCC"/>
    <w:rsid w:val="00A35949"/>
    <w:rsid w:val="00A526D4"/>
    <w:rsid w:val="00A56CF2"/>
    <w:rsid w:val="00A649CC"/>
    <w:rsid w:val="00A75B1A"/>
    <w:rsid w:val="00A760B5"/>
    <w:rsid w:val="00A8041D"/>
    <w:rsid w:val="00A807E2"/>
    <w:rsid w:val="00A90842"/>
    <w:rsid w:val="00A92CAA"/>
    <w:rsid w:val="00A9316B"/>
    <w:rsid w:val="00AA417C"/>
    <w:rsid w:val="00AA41C0"/>
    <w:rsid w:val="00AA5FA9"/>
    <w:rsid w:val="00AA622B"/>
    <w:rsid w:val="00AA6527"/>
    <w:rsid w:val="00AB008A"/>
    <w:rsid w:val="00AB083F"/>
    <w:rsid w:val="00AB3214"/>
    <w:rsid w:val="00AB5FD4"/>
    <w:rsid w:val="00AB7F70"/>
    <w:rsid w:val="00AC1347"/>
    <w:rsid w:val="00AC5060"/>
    <w:rsid w:val="00AD2748"/>
    <w:rsid w:val="00AE4C6C"/>
    <w:rsid w:val="00AF18BA"/>
    <w:rsid w:val="00AF1F26"/>
    <w:rsid w:val="00AF5F74"/>
    <w:rsid w:val="00AF66EB"/>
    <w:rsid w:val="00B00E23"/>
    <w:rsid w:val="00B152FC"/>
    <w:rsid w:val="00B219B8"/>
    <w:rsid w:val="00B23311"/>
    <w:rsid w:val="00B24D69"/>
    <w:rsid w:val="00B315C8"/>
    <w:rsid w:val="00B4281B"/>
    <w:rsid w:val="00B42CE3"/>
    <w:rsid w:val="00B4467A"/>
    <w:rsid w:val="00B450F5"/>
    <w:rsid w:val="00B45AC2"/>
    <w:rsid w:val="00B46747"/>
    <w:rsid w:val="00B46873"/>
    <w:rsid w:val="00B476EF"/>
    <w:rsid w:val="00B525D4"/>
    <w:rsid w:val="00B55BFF"/>
    <w:rsid w:val="00B62119"/>
    <w:rsid w:val="00B759FF"/>
    <w:rsid w:val="00B9084F"/>
    <w:rsid w:val="00B9097B"/>
    <w:rsid w:val="00B910C5"/>
    <w:rsid w:val="00B92CA9"/>
    <w:rsid w:val="00BB0ED5"/>
    <w:rsid w:val="00BB1FF5"/>
    <w:rsid w:val="00BB46D9"/>
    <w:rsid w:val="00BB7947"/>
    <w:rsid w:val="00BD50BA"/>
    <w:rsid w:val="00BD7AAF"/>
    <w:rsid w:val="00BE1C60"/>
    <w:rsid w:val="00BE1CE6"/>
    <w:rsid w:val="00BE4D60"/>
    <w:rsid w:val="00BF3341"/>
    <w:rsid w:val="00BF74E5"/>
    <w:rsid w:val="00C01D8F"/>
    <w:rsid w:val="00C17095"/>
    <w:rsid w:val="00C2094D"/>
    <w:rsid w:val="00C25322"/>
    <w:rsid w:val="00C321D9"/>
    <w:rsid w:val="00C37AF7"/>
    <w:rsid w:val="00C43750"/>
    <w:rsid w:val="00C44309"/>
    <w:rsid w:val="00C44A1E"/>
    <w:rsid w:val="00C507D3"/>
    <w:rsid w:val="00C53FDF"/>
    <w:rsid w:val="00C54982"/>
    <w:rsid w:val="00C60664"/>
    <w:rsid w:val="00C654AC"/>
    <w:rsid w:val="00C658A6"/>
    <w:rsid w:val="00C74AE8"/>
    <w:rsid w:val="00C8017A"/>
    <w:rsid w:val="00C83624"/>
    <w:rsid w:val="00C9030A"/>
    <w:rsid w:val="00C915DF"/>
    <w:rsid w:val="00C93B3F"/>
    <w:rsid w:val="00C943E7"/>
    <w:rsid w:val="00C97D86"/>
    <w:rsid w:val="00CA29BF"/>
    <w:rsid w:val="00CA380F"/>
    <w:rsid w:val="00CB0A78"/>
    <w:rsid w:val="00CB0C9C"/>
    <w:rsid w:val="00CB5501"/>
    <w:rsid w:val="00CB55B5"/>
    <w:rsid w:val="00CC315D"/>
    <w:rsid w:val="00CD6EB1"/>
    <w:rsid w:val="00CF378B"/>
    <w:rsid w:val="00D004F4"/>
    <w:rsid w:val="00D009FE"/>
    <w:rsid w:val="00D025FD"/>
    <w:rsid w:val="00D0516A"/>
    <w:rsid w:val="00D10106"/>
    <w:rsid w:val="00D169CE"/>
    <w:rsid w:val="00D23406"/>
    <w:rsid w:val="00D240A5"/>
    <w:rsid w:val="00D3060A"/>
    <w:rsid w:val="00D4655C"/>
    <w:rsid w:val="00D4799A"/>
    <w:rsid w:val="00D63EDC"/>
    <w:rsid w:val="00D66841"/>
    <w:rsid w:val="00D72557"/>
    <w:rsid w:val="00D94A38"/>
    <w:rsid w:val="00DA1057"/>
    <w:rsid w:val="00DA353B"/>
    <w:rsid w:val="00DA4249"/>
    <w:rsid w:val="00DB001A"/>
    <w:rsid w:val="00DB2105"/>
    <w:rsid w:val="00DB248E"/>
    <w:rsid w:val="00DB4927"/>
    <w:rsid w:val="00DB6283"/>
    <w:rsid w:val="00DC3B1C"/>
    <w:rsid w:val="00DC590E"/>
    <w:rsid w:val="00DD232A"/>
    <w:rsid w:val="00DD5162"/>
    <w:rsid w:val="00DD61C9"/>
    <w:rsid w:val="00DD6E0F"/>
    <w:rsid w:val="00DE5A6D"/>
    <w:rsid w:val="00DF796A"/>
    <w:rsid w:val="00E1736C"/>
    <w:rsid w:val="00E20A95"/>
    <w:rsid w:val="00E218ED"/>
    <w:rsid w:val="00E23CA8"/>
    <w:rsid w:val="00E26BAA"/>
    <w:rsid w:val="00E31DF9"/>
    <w:rsid w:val="00E344B0"/>
    <w:rsid w:val="00E3641D"/>
    <w:rsid w:val="00E374FD"/>
    <w:rsid w:val="00E4084F"/>
    <w:rsid w:val="00E41E25"/>
    <w:rsid w:val="00E42321"/>
    <w:rsid w:val="00E449FD"/>
    <w:rsid w:val="00E46359"/>
    <w:rsid w:val="00E463EE"/>
    <w:rsid w:val="00E46BB6"/>
    <w:rsid w:val="00E5570C"/>
    <w:rsid w:val="00E61F68"/>
    <w:rsid w:val="00E72607"/>
    <w:rsid w:val="00E734AB"/>
    <w:rsid w:val="00E83DB7"/>
    <w:rsid w:val="00E86F1D"/>
    <w:rsid w:val="00EA32EF"/>
    <w:rsid w:val="00EB04C3"/>
    <w:rsid w:val="00EC4882"/>
    <w:rsid w:val="00EC7015"/>
    <w:rsid w:val="00ED369E"/>
    <w:rsid w:val="00ED6E7A"/>
    <w:rsid w:val="00EE794D"/>
    <w:rsid w:val="00F007DF"/>
    <w:rsid w:val="00F03779"/>
    <w:rsid w:val="00F10822"/>
    <w:rsid w:val="00F12C85"/>
    <w:rsid w:val="00F159C4"/>
    <w:rsid w:val="00F16132"/>
    <w:rsid w:val="00F16F48"/>
    <w:rsid w:val="00F251EA"/>
    <w:rsid w:val="00F27BED"/>
    <w:rsid w:val="00F30854"/>
    <w:rsid w:val="00F40264"/>
    <w:rsid w:val="00F44337"/>
    <w:rsid w:val="00F54E39"/>
    <w:rsid w:val="00F558FA"/>
    <w:rsid w:val="00F60133"/>
    <w:rsid w:val="00F638A5"/>
    <w:rsid w:val="00F672FE"/>
    <w:rsid w:val="00F748F5"/>
    <w:rsid w:val="00F92015"/>
    <w:rsid w:val="00F9328D"/>
    <w:rsid w:val="00F93D78"/>
    <w:rsid w:val="00F966A0"/>
    <w:rsid w:val="00F96A90"/>
    <w:rsid w:val="00F97F91"/>
    <w:rsid w:val="00FB4AEA"/>
    <w:rsid w:val="00FC5290"/>
    <w:rsid w:val="00FC642B"/>
    <w:rsid w:val="00FC747A"/>
    <w:rsid w:val="00FD130D"/>
    <w:rsid w:val="00FD34CA"/>
    <w:rsid w:val="00FF6CCD"/>
    <w:rsid w:val="2F9B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link w:val="16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4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5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">
    <w:name w:val="footer"/>
    <w:basedOn w:val="1"/>
    <w:link w:val="32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9">
    <w:name w:val="header"/>
    <w:basedOn w:val="1"/>
    <w:link w:val="31"/>
    <w:semiHidden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10">
    <w:name w:val="Hyperlink"/>
    <w:basedOn w:val="5"/>
    <w:semiHidden/>
    <w:unhideWhenUsed/>
    <w:uiPriority w:val="99"/>
    <w:rPr>
      <w:color w:val="0000FF"/>
      <w:u w:val="single"/>
    </w:rPr>
  </w:style>
  <w:style w:type="paragraph" w:styleId="11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2">
    <w:name w:val="Strong"/>
    <w:basedOn w:val="5"/>
    <w:qFormat/>
    <w:uiPriority w:val="22"/>
    <w:rPr>
      <w:b/>
      <w:bCs/>
    </w:rPr>
  </w:style>
  <w:style w:type="table" w:styleId="13">
    <w:name w:val="Table Grid"/>
    <w:basedOn w:val="6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cs="Arial" w:eastAsiaTheme="minorEastAsia"/>
      <w:color w:val="000000"/>
      <w:sz w:val="24"/>
      <w:szCs w:val="24"/>
      <w:lang w:val="en-US" w:eastAsia="en-US" w:bidi="ar-SA"/>
    </w:rPr>
  </w:style>
  <w:style w:type="character" w:customStyle="1" w:styleId="15">
    <w:name w:val="Balloon Text Char"/>
    <w:basedOn w:val="5"/>
    <w:link w:val="7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6">
    <w:name w:val="Heading 2 Char"/>
    <w:basedOn w:val="5"/>
    <w:link w:val="3"/>
    <w:qFormat/>
    <w:uiPriority w:val="9"/>
    <w:rPr>
      <w:rFonts w:ascii="Times New Roman" w:hAnsi="Times New Roman" w:eastAsia="Times New Roman" w:cs="Times New Roman"/>
      <w:b/>
      <w:bCs/>
      <w:sz w:val="36"/>
      <w:szCs w:val="36"/>
    </w:rPr>
  </w:style>
  <w:style w:type="character" w:customStyle="1" w:styleId="17">
    <w:name w:val="Heading 1 Char"/>
    <w:basedOn w:val="5"/>
    <w:link w:val="2"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customStyle="1" w:styleId="18">
    <w:name w:val="a_l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19">
    <w:name w:val="s_par"/>
    <w:basedOn w:val="5"/>
    <w:qFormat/>
    <w:uiPriority w:val="0"/>
  </w:style>
  <w:style w:type="character" w:customStyle="1" w:styleId="20">
    <w:name w:val="s_art_ttl"/>
    <w:basedOn w:val="5"/>
    <w:qFormat/>
    <w:uiPriority w:val="0"/>
  </w:style>
  <w:style w:type="character" w:customStyle="1" w:styleId="21">
    <w:name w:val="s_aln"/>
    <w:basedOn w:val="5"/>
    <w:qFormat/>
    <w:uiPriority w:val="0"/>
  </w:style>
  <w:style w:type="character" w:customStyle="1" w:styleId="22">
    <w:name w:val="s_aln_ttl"/>
    <w:basedOn w:val="5"/>
    <w:qFormat/>
    <w:uiPriority w:val="0"/>
  </w:style>
  <w:style w:type="character" w:customStyle="1" w:styleId="23">
    <w:name w:val="s_aln_bdy"/>
    <w:basedOn w:val="5"/>
    <w:uiPriority w:val="0"/>
  </w:style>
  <w:style w:type="character" w:customStyle="1" w:styleId="24">
    <w:name w:val="Heading 4 Char"/>
    <w:basedOn w:val="5"/>
    <w:link w:val="4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5">
    <w:name w:val="tonic-accent"/>
    <w:basedOn w:val="5"/>
    <w:qFormat/>
    <w:uiPriority w:val="0"/>
  </w:style>
  <w:style w:type="character" w:customStyle="1" w:styleId="26">
    <w:name w:val="s_pct_ttl"/>
    <w:basedOn w:val="5"/>
    <w:qFormat/>
    <w:uiPriority w:val="0"/>
  </w:style>
  <w:style w:type="character" w:customStyle="1" w:styleId="27">
    <w:name w:val="s_pct_bdy"/>
    <w:basedOn w:val="5"/>
    <w:qFormat/>
    <w:uiPriority w:val="0"/>
  </w:style>
  <w:style w:type="character" w:customStyle="1" w:styleId="28">
    <w:name w:val="s_lit_ttl"/>
    <w:basedOn w:val="5"/>
    <w:qFormat/>
    <w:uiPriority w:val="0"/>
  </w:style>
  <w:style w:type="character" w:customStyle="1" w:styleId="29">
    <w:name w:val="s_lit_bdy"/>
    <w:basedOn w:val="5"/>
    <w:qFormat/>
    <w:uiPriority w:val="0"/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Header Char"/>
    <w:basedOn w:val="5"/>
    <w:link w:val="9"/>
    <w:semiHidden/>
    <w:qFormat/>
    <w:uiPriority w:val="99"/>
  </w:style>
  <w:style w:type="character" w:customStyle="1" w:styleId="32">
    <w:name w:val="Footer Char"/>
    <w:basedOn w:val="5"/>
    <w:link w:val="8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51A8A-7BD9-45D9-9B00-BDB257BADC5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404</Words>
  <Characters>2304</Characters>
  <Lines>19</Lines>
  <Paragraphs>5</Paragraphs>
  <TotalTime>0</TotalTime>
  <ScaleCrop>false</ScaleCrop>
  <LinksUpToDate>false</LinksUpToDate>
  <CharactersWithSpaces>2703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2025-06-19T05:17:00Z</dcterms:created>
  <dc:creator>User</dc:creator>
  <cp:lastModifiedBy>Urbanism Balaciu</cp:lastModifiedBy>
  <cp:lastPrinted>2025-06-19T05:13:00Z</cp:lastPrinted>
  <dcterms:modified xsi:type="dcterms:W3CDTF">2025-06-23T06:04:52Z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8E554684621045259358EC9118913C85_12</vt:lpwstr>
  </property>
</Properties>
</file>