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E9" w:rsidRPr="008F69E9" w:rsidRDefault="008F69E9" w:rsidP="008F69E9">
      <w:pPr>
        <w:spacing w:after="100" w:line="259" w:lineRule="auto"/>
        <w:jc w:val="right"/>
        <w:rPr>
          <w:rFonts w:ascii="Arial" w:hAnsi="Arial" w:cs="Arial"/>
          <w:b/>
          <w:sz w:val="20"/>
          <w:szCs w:val="20"/>
        </w:rPr>
      </w:pPr>
      <w:r w:rsidRPr="008F69E9">
        <w:rPr>
          <w:rFonts w:ascii="Arial" w:hAnsi="Arial" w:cs="Arial"/>
          <w:b/>
          <w:sz w:val="20"/>
          <w:szCs w:val="20"/>
        </w:rPr>
        <w:t>ANEXA 1 LA H.C.L. NR……………./…………..2026</w:t>
      </w:r>
    </w:p>
    <w:p w:rsidR="008F69E9" w:rsidRPr="008F69E9" w:rsidRDefault="008F69E9" w:rsidP="008F69E9">
      <w:pPr>
        <w:spacing w:after="100" w:line="259" w:lineRule="auto"/>
        <w:jc w:val="right"/>
        <w:rPr>
          <w:rFonts w:ascii="Arial" w:hAnsi="Arial" w:cs="Arial"/>
          <w:b/>
          <w:sz w:val="20"/>
          <w:szCs w:val="20"/>
        </w:rPr>
      </w:pPr>
    </w:p>
    <w:p w:rsidR="008F69E9" w:rsidRPr="008F69E9" w:rsidRDefault="008F69E9">
      <w:pPr>
        <w:spacing w:after="100" w:line="259" w:lineRule="auto"/>
        <w:jc w:val="center"/>
        <w:rPr>
          <w:rFonts w:ascii="Arial" w:hAnsi="Arial" w:cs="Arial"/>
          <w:b/>
          <w:sz w:val="20"/>
          <w:szCs w:val="20"/>
        </w:rPr>
      </w:pPr>
    </w:p>
    <w:p w:rsidR="00992449" w:rsidRPr="008F69E9" w:rsidRDefault="008259BB">
      <w:pPr>
        <w:spacing w:after="100" w:line="259" w:lineRule="auto"/>
        <w:jc w:val="center"/>
        <w:rPr>
          <w:rFonts w:ascii="Arial" w:hAnsi="Arial" w:cs="Arial"/>
          <w:sz w:val="20"/>
          <w:szCs w:val="20"/>
        </w:rPr>
      </w:pPr>
      <w:r>
        <w:rPr>
          <w:rFonts w:ascii="Arial" w:hAnsi="Arial" w:cs="Arial"/>
          <w:b/>
          <w:sz w:val="20"/>
          <w:szCs w:val="20"/>
        </w:rPr>
        <w:t>MOTIVELE</w:t>
      </w:r>
      <w:r w:rsidR="0099748E" w:rsidRPr="008F69E9">
        <w:rPr>
          <w:rFonts w:ascii="Arial" w:hAnsi="Arial" w:cs="Arial"/>
          <w:b/>
          <w:sz w:val="20"/>
          <w:szCs w:val="20"/>
        </w:rPr>
        <w:t xml:space="preserve"> </w:t>
      </w:r>
      <w:proofErr w:type="gramStart"/>
      <w:r w:rsidR="0099748E" w:rsidRPr="008F69E9">
        <w:rPr>
          <w:rFonts w:ascii="Arial" w:hAnsi="Arial" w:cs="Arial"/>
          <w:b/>
          <w:sz w:val="20"/>
          <w:szCs w:val="20"/>
        </w:rPr>
        <w:t xml:space="preserve">PRIVIND </w:t>
      </w:r>
      <w:r w:rsidR="002609B4" w:rsidRPr="008F69E9">
        <w:rPr>
          <w:rFonts w:ascii="Arial" w:hAnsi="Arial" w:cs="Arial"/>
          <w:b/>
          <w:sz w:val="20"/>
          <w:szCs w:val="20"/>
        </w:rPr>
        <w:t xml:space="preserve"> </w:t>
      </w:r>
      <w:r w:rsidR="008F69E9" w:rsidRPr="008F69E9">
        <w:rPr>
          <w:rFonts w:ascii="Arial" w:hAnsi="Arial" w:cs="Arial"/>
          <w:b/>
          <w:sz w:val="20"/>
          <w:szCs w:val="20"/>
        </w:rPr>
        <w:t>RESPINGEREA</w:t>
      </w:r>
      <w:proofErr w:type="gramEnd"/>
      <w:r w:rsidR="002609B4" w:rsidRPr="008F69E9">
        <w:rPr>
          <w:rFonts w:ascii="Arial" w:hAnsi="Arial" w:cs="Arial"/>
          <w:b/>
          <w:sz w:val="20"/>
          <w:szCs w:val="20"/>
        </w:rPr>
        <w:t xml:space="preserve"> PLÂNGER</w:t>
      </w:r>
      <w:r w:rsidR="008F69E9" w:rsidRPr="008F69E9">
        <w:rPr>
          <w:rFonts w:ascii="Arial" w:hAnsi="Arial" w:cs="Arial"/>
          <w:b/>
          <w:sz w:val="20"/>
          <w:szCs w:val="20"/>
        </w:rPr>
        <w:t>II</w:t>
      </w:r>
      <w:r w:rsidR="002609B4" w:rsidRPr="008F69E9">
        <w:rPr>
          <w:rFonts w:ascii="Arial" w:hAnsi="Arial" w:cs="Arial"/>
          <w:b/>
          <w:sz w:val="20"/>
          <w:szCs w:val="20"/>
        </w:rPr>
        <w:t xml:space="preserve"> PREALABIL</w:t>
      </w:r>
      <w:r w:rsidR="008F69E9" w:rsidRPr="008F69E9">
        <w:rPr>
          <w:rFonts w:ascii="Arial" w:hAnsi="Arial" w:cs="Arial"/>
          <w:b/>
          <w:sz w:val="20"/>
          <w:szCs w:val="20"/>
        </w:rPr>
        <w:t>E</w:t>
      </w:r>
    </w:p>
    <w:p w:rsidR="00D57839" w:rsidRPr="00D57839" w:rsidRDefault="002609B4" w:rsidP="00D57839">
      <w:pPr>
        <w:pStyle w:val="Normal1"/>
        <w:spacing w:after="0" w:line="240" w:lineRule="auto"/>
        <w:jc w:val="center"/>
        <w:rPr>
          <w:rFonts w:ascii="Arial" w:eastAsia="Arial" w:hAnsi="Arial" w:cs="Arial"/>
          <w:b/>
          <w:bCs/>
          <w:color w:val="000000" w:themeColor="text1"/>
          <w:sz w:val="20"/>
          <w:szCs w:val="20"/>
          <w:lang w:val="ro-RO"/>
        </w:rPr>
      </w:pPr>
      <w:proofErr w:type="gramStart"/>
      <w:r w:rsidRPr="008F69E9">
        <w:rPr>
          <w:rFonts w:ascii="Arial" w:hAnsi="Arial" w:cs="Arial"/>
          <w:b/>
          <w:sz w:val="20"/>
          <w:szCs w:val="20"/>
        </w:rPr>
        <w:t>formulată</w:t>
      </w:r>
      <w:proofErr w:type="gramEnd"/>
      <w:r w:rsidRPr="008F69E9">
        <w:rPr>
          <w:rFonts w:ascii="Arial" w:hAnsi="Arial" w:cs="Arial"/>
          <w:b/>
          <w:sz w:val="20"/>
          <w:szCs w:val="20"/>
        </w:rPr>
        <w:t xml:space="preserve"> de POWER SOFT TECH S.R.L. împotriva H.C.L. nr. 200/2026 și </w:t>
      </w:r>
      <w:proofErr w:type="gramStart"/>
      <w:r w:rsidRPr="008F69E9">
        <w:rPr>
          <w:rFonts w:ascii="Arial" w:hAnsi="Arial" w:cs="Arial"/>
          <w:b/>
          <w:sz w:val="20"/>
          <w:szCs w:val="20"/>
        </w:rPr>
        <w:t>a</w:t>
      </w:r>
      <w:proofErr w:type="gramEnd"/>
      <w:r w:rsidRPr="008F69E9">
        <w:rPr>
          <w:rFonts w:ascii="Arial" w:hAnsi="Arial" w:cs="Arial"/>
          <w:b/>
          <w:sz w:val="20"/>
          <w:szCs w:val="20"/>
        </w:rPr>
        <w:t xml:space="preserve"> Anexei nr. 1 – </w:t>
      </w:r>
      <w:proofErr w:type="spellStart"/>
      <w:r w:rsidR="00D57839">
        <w:rPr>
          <w:rFonts w:ascii="Arial" w:hAnsi="Arial" w:cs="Arial"/>
          <w:b/>
          <w:sz w:val="20"/>
          <w:szCs w:val="20"/>
        </w:rPr>
        <w:t>Regulament</w:t>
      </w:r>
      <w:proofErr w:type="spellEnd"/>
      <w:r w:rsidR="00D57839">
        <w:rPr>
          <w:rFonts w:ascii="Arial" w:hAnsi="Arial" w:cs="Arial"/>
          <w:b/>
          <w:sz w:val="20"/>
          <w:szCs w:val="20"/>
        </w:rPr>
        <w:t xml:space="preserve"> </w:t>
      </w:r>
      <w:r w:rsidR="00D57839" w:rsidRPr="00D57839">
        <w:rPr>
          <w:rFonts w:ascii="Arial" w:eastAsia="Arial" w:hAnsi="Arial" w:cs="Arial"/>
          <w:b/>
          <w:bCs/>
          <w:color w:val="000000" w:themeColor="text1"/>
          <w:sz w:val="20"/>
          <w:szCs w:val="20"/>
          <w:lang w:val="ro-RO"/>
        </w:rPr>
        <w:t xml:space="preserve">privind procedura de emitere </w:t>
      </w:r>
      <w:proofErr w:type="gramStart"/>
      <w:r w:rsidR="00D57839" w:rsidRPr="00D57839">
        <w:rPr>
          <w:rFonts w:ascii="Arial" w:eastAsia="Arial" w:hAnsi="Arial" w:cs="Arial"/>
          <w:b/>
          <w:bCs/>
          <w:color w:val="000000" w:themeColor="text1"/>
          <w:sz w:val="20"/>
          <w:szCs w:val="20"/>
          <w:lang w:val="ro-RO"/>
        </w:rPr>
        <w:t>a</w:t>
      </w:r>
      <w:proofErr w:type="gramEnd"/>
      <w:r w:rsidR="00D57839" w:rsidRPr="00D57839">
        <w:rPr>
          <w:rFonts w:ascii="Arial" w:eastAsia="Arial" w:hAnsi="Arial" w:cs="Arial"/>
          <w:b/>
          <w:bCs/>
          <w:color w:val="000000" w:themeColor="text1"/>
          <w:sz w:val="20"/>
          <w:szCs w:val="20"/>
          <w:lang w:val="ro-RO"/>
        </w:rPr>
        <w:t xml:space="preserve"> autorizației de funcționare locală</w:t>
      </w:r>
    </w:p>
    <w:p w:rsidR="00D57839" w:rsidRPr="00891B1C" w:rsidRDefault="00D57839" w:rsidP="00D57839">
      <w:pPr>
        <w:pStyle w:val="Normal1"/>
        <w:spacing w:after="0" w:line="240" w:lineRule="auto"/>
        <w:jc w:val="center"/>
        <w:rPr>
          <w:rFonts w:ascii="Arial" w:eastAsia="Arial" w:hAnsi="Arial" w:cs="Arial"/>
          <w:b/>
          <w:bCs/>
          <w:color w:val="000000" w:themeColor="text1"/>
          <w:sz w:val="24"/>
          <w:szCs w:val="24"/>
          <w:lang w:val="ro-RO"/>
        </w:rPr>
      </w:pPr>
      <w:r w:rsidRPr="00D57839">
        <w:rPr>
          <w:rFonts w:ascii="Arial" w:eastAsia="Arial" w:hAnsi="Arial" w:cs="Arial"/>
          <w:b/>
          <w:bCs/>
          <w:color w:val="000000" w:themeColor="text1"/>
          <w:sz w:val="20"/>
          <w:szCs w:val="20"/>
          <w:lang w:val="ro-RO"/>
        </w:rPr>
        <w:t>a operatorilor economici care desfășoară activități de jocuri de noroc în locații fizice (cod CAEN 9200) pe teritoriul administrativ al municipiului Baia Mare</w:t>
      </w:r>
    </w:p>
    <w:p w:rsidR="008F69E9" w:rsidRPr="008F69E9" w:rsidRDefault="008F69E9">
      <w:pPr>
        <w:spacing w:after="100" w:line="259" w:lineRule="auto"/>
        <w:jc w:val="center"/>
        <w:rPr>
          <w:rFonts w:ascii="Arial" w:hAnsi="Arial" w:cs="Arial"/>
          <w:sz w:val="20"/>
          <w:szCs w:val="20"/>
        </w:rPr>
      </w:pP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Considerații generale</w:t>
      </w:r>
    </w:p>
    <w:p w:rsidR="00992449" w:rsidRPr="008F69E9" w:rsidRDefault="002609B4" w:rsidP="008F69E9">
      <w:pPr>
        <w:spacing w:after="100" w:line="259" w:lineRule="auto"/>
        <w:jc w:val="both"/>
        <w:rPr>
          <w:rFonts w:ascii="Arial" w:hAnsi="Arial" w:cs="Arial"/>
          <w:sz w:val="20"/>
          <w:szCs w:val="20"/>
        </w:rPr>
      </w:pPr>
      <w:proofErr w:type="gramStart"/>
      <w:r w:rsidRPr="008F69E9">
        <w:rPr>
          <w:rFonts w:ascii="Arial" w:hAnsi="Arial" w:cs="Arial"/>
          <w:sz w:val="20"/>
          <w:szCs w:val="20"/>
        </w:rPr>
        <w:t>Plângerea prealabilă se analizează în temeiul art.</w:t>
      </w:r>
      <w:proofErr w:type="gramEnd"/>
      <w:r w:rsidRPr="008F69E9">
        <w:rPr>
          <w:rFonts w:ascii="Arial" w:hAnsi="Arial" w:cs="Arial"/>
          <w:sz w:val="20"/>
          <w:szCs w:val="20"/>
        </w:rPr>
        <w:t xml:space="preserve"> 7 din Legea nr. </w:t>
      </w:r>
      <w:proofErr w:type="gramStart"/>
      <w:r w:rsidRPr="008F69E9">
        <w:rPr>
          <w:rFonts w:ascii="Arial" w:hAnsi="Arial" w:cs="Arial"/>
          <w:sz w:val="20"/>
          <w:szCs w:val="20"/>
        </w:rPr>
        <w:t>554/2004.</w:t>
      </w:r>
      <w:proofErr w:type="gramEnd"/>
      <w:r w:rsidRPr="008F69E9">
        <w:rPr>
          <w:rFonts w:ascii="Arial" w:hAnsi="Arial" w:cs="Arial"/>
          <w:sz w:val="20"/>
          <w:szCs w:val="20"/>
        </w:rPr>
        <w:t xml:space="preserve"> </w:t>
      </w:r>
      <w:proofErr w:type="gramStart"/>
      <w:r w:rsidRPr="008F69E9">
        <w:rPr>
          <w:rFonts w:ascii="Arial" w:hAnsi="Arial" w:cs="Arial"/>
          <w:sz w:val="20"/>
          <w:szCs w:val="20"/>
        </w:rPr>
        <w:t>Competența autorității locale derivă din art.</w:t>
      </w:r>
      <w:proofErr w:type="gramEnd"/>
      <w:r w:rsidRPr="008F69E9">
        <w:rPr>
          <w:rFonts w:ascii="Arial" w:hAnsi="Arial" w:cs="Arial"/>
          <w:sz w:val="20"/>
          <w:szCs w:val="20"/>
        </w:rPr>
        <w:t xml:space="preserve"> </w:t>
      </w:r>
      <w:proofErr w:type="gramStart"/>
      <w:r w:rsidRPr="008F69E9">
        <w:rPr>
          <w:rFonts w:ascii="Arial" w:hAnsi="Arial" w:cs="Arial"/>
          <w:sz w:val="20"/>
          <w:szCs w:val="20"/>
        </w:rPr>
        <w:t>18</w:t>
      </w:r>
      <w:r w:rsidR="008259BB">
        <w:rPr>
          <w:rFonts w:ascii="Arial" w:hAnsi="Arial" w:cs="Arial"/>
          <w:sz w:val="20"/>
          <w:szCs w:val="20"/>
          <w:vertAlign w:val="superscript"/>
        </w:rPr>
        <w:t>1</w:t>
      </w:r>
      <w:r w:rsidRPr="008F69E9">
        <w:rPr>
          <w:rFonts w:ascii="Arial" w:hAnsi="Arial" w:cs="Arial"/>
          <w:sz w:val="20"/>
          <w:szCs w:val="20"/>
        </w:rPr>
        <w:t xml:space="preserve"> </w:t>
      </w:r>
      <w:proofErr w:type="spellStart"/>
      <w:r w:rsidRPr="008F69E9">
        <w:rPr>
          <w:rFonts w:ascii="Arial" w:hAnsi="Arial" w:cs="Arial"/>
          <w:sz w:val="20"/>
          <w:szCs w:val="20"/>
        </w:rPr>
        <w:t>alin</w:t>
      </w:r>
      <w:proofErr w:type="spellEnd"/>
      <w:r w:rsidRPr="008F69E9">
        <w:rPr>
          <w:rFonts w:ascii="Arial" w:hAnsi="Arial" w:cs="Arial"/>
          <w:sz w:val="20"/>
          <w:szCs w:val="20"/>
        </w:rPr>
        <w:t>.</w:t>
      </w:r>
      <w:proofErr w:type="gramEnd"/>
      <w:r w:rsidRPr="008F69E9">
        <w:rPr>
          <w:rFonts w:ascii="Arial" w:hAnsi="Arial" w:cs="Arial"/>
          <w:sz w:val="20"/>
          <w:szCs w:val="20"/>
        </w:rPr>
        <w:t xml:space="preserve"> (1)</w:t>
      </w:r>
      <w:proofErr w:type="gramStart"/>
      <w:r w:rsidRPr="008F69E9">
        <w:rPr>
          <w:rFonts w:ascii="Arial" w:hAnsi="Arial" w:cs="Arial"/>
          <w:sz w:val="20"/>
          <w:szCs w:val="20"/>
        </w:rPr>
        <w:t>-(</w:t>
      </w:r>
      <w:proofErr w:type="gramEnd"/>
      <w:r w:rsidRPr="008F69E9">
        <w:rPr>
          <w:rFonts w:ascii="Arial" w:hAnsi="Arial" w:cs="Arial"/>
          <w:sz w:val="20"/>
          <w:szCs w:val="20"/>
        </w:rPr>
        <w:t xml:space="preserve">6) din O.U.G. nr. </w:t>
      </w:r>
      <w:proofErr w:type="gramStart"/>
      <w:r w:rsidRPr="008F69E9">
        <w:rPr>
          <w:rFonts w:ascii="Arial" w:hAnsi="Arial" w:cs="Arial"/>
          <w:sz w:val="20"/>
          <w:szCs w:val="20"/>
        </w:rPr>
        <w:t>77/2009, astfel cum a fost modificată prin O.U.G. nr.</w:t>
      </w:r>
      <w:proofErr w:type="gramEnd"/>
      <w:r w:rsidRPr="008F69E9">
        <w:rPr>
          <w:rFonts w:ascii="Arial" w:hAnsi="Arial" w:cs="Arial"/>
          <w:sz w:val="20"/>
          <w:szCs w:val="20"/>
        </w:rPr>
        <w:t xml:space="preserve"> </w:t>
      </w:r>
      <w:proofErr w:type="gramStart"/>
      <w:r w:rsidRPr="008F69E9">
        <w:rPr>
          <w:rFonts w:ascii="Arial" w:hAnsi="Arial" w:cs="Arial"/>
          <w:sz w:val="20"/>
          <w:szCs w:val="20"/>
        </w:rPr>
        <w:t>7/2026, precum și din art.</w:t>
      </w:r>
      <w:proofErr w:type="gramEnd"/>
      <w:r w:rsidRPr="008F69E9">
        <w:rPr>
          <w:rFonts w:ascii="Arial" w:hAnsi="Arial" w:cs="Arial"/>
          <w:sz w:val="20"/>
          <w:szCs w:val="20"/>
        </w:rPr>
        <w:t xml:space="preserve"> </w:t>
      </w:r>
      <w:proofErr w:type="gramStart"/>
      <w:r w:rsidRPr="008F69E9">
        <w:rPr>
          <w:rFonts w:ascii="Arial" w:hAnsi="Arial" w:cs="Arial"/>
          <w:sz w:val="20"/>
          <w:szCs w:val="20"/>
        </w:rPr>
        <w:t>129 alin.</w:t>
      </w:r>
      <w:proofErr w:type="gramEnd"/>
      <w:r w:rsidRPr="008F69E9">
        <w:rPr>
          <w:rFonts w:ascii="Arial" w:hAnsi="Arial" w:cs="Arial"/>
          <w:sz w:val="20"/>
          <w:szCs w:val="20"/>
        </w:rPr>
        <w:t xml:space="preserve"> (1), alin. (2) </w:t>
      </w:r>
      <w:proofErr w:type="gramStart"/>
      <w:r w:rsidRPr="008F69E9">
        <w:rPr>
          <w:rFonts w:ascii="Arial" w:hAnsi="Arial" w:cs="Arial"/>
          <w:sz w:val="20"/>
          <w:szCs w:val="20"/>
        </w:rPr>
        <w:t>lit</w:t>
      </w:r>
      <w:proofErr w:type="gramEnd"/>
      <w:r w:rsidRPr="008F69E9">
        <w:rPr>
          <w:rFonts w:ascii="Arial" w:hAnsi="Arial" w:cs="Arial"/>
          <w:sz w:val="20"/>
          <w:szCs w:val="20"/>
        </w:rPr>
        <w:t xml:space="preserve">. b) și alin. (4) </w:t>
      </w:r>
      <w:proofErr w:type="gramStart"/>
      <w:r w:rsidRPr="008F69E9">
        <w:rPr>
          <w:rFonts w:ascii="Arial" w:hAnsi="Arial" w:cs="Arial"/>
          <w:sz w:val="20"/>
          <w:szCs w:val="20"/>
        </w:rPr>
        <w:t>lit</w:t>
      </w:r>
      <w:proofErr w:type="gramEnd"/>
      <w:r w:rsidRPr="008F69E9">
        <w:rPr>
          <w:rFonts w:ascii="Arial" w:hAnsi="Arial" w:cs="Arial"/>
          <w:sz w:val="20"/>
          <w:szCs w:val="20"/>
        </w:rPr>
        <w:t xml:space="preserve">. c) </w:t>
      </w:r>
      <w:proofErr w:type="gramStart"/>
      <w:r w:rsidRPr="008F69E9">
        <w:rPr>
          <w:rFonts w:ascii="Arial" w:hAnsi="Arial" w:cs="Arial"/>
          <w:sz w:val="20"/>
          <w:szCs w:val="20"/>
        </w:rPr>
        <w:t>din</w:t>
      </w:r>
      <w:proofErr w:type="gramEnd"/>
      <w:r w:rsidRPr="008F69E9">
        <w:rPr>
          <w:rFonts w:ascii="Arial" w:hAnsi="Arial" w:cs="Arial"/>
          <w:sz w:val="20"/>
          <w:szCs w:val="20"/>
        </w:rPr>
        <w:t xml:space="preserve"> O.U.G. nr. </w:t>
      </w:r>
      <w:proofErr w:type="gramStart"/>
      <w:r w:rsidRPr="008F69E9">
        <w:rPr>
          <w:rFonts w:ascii="Arial" w:hAnsi="Arial" w:cs="Arial"/>
          <w:sz w:val="20"/>
          <w:szCs w:val="20"/>
        </w:rPr>
        <w:t>57/2019 privind Codul administrativ.</w:t>
      </w:r>
      <w:proofErr w:type="gramEnd"/>
    </w:p>
    <w:p w:rsidR="00992449" w:rsidRPr="008F69E9" w:rsidRDefault="008259BB" w:rsidP="008F69E9">
      <w:pPr>
        <w:spacing w:after="100" w:line="259" w:lineRule="auto"/>
        <w:jc w:val="both"/>
        <w:rPr>
          <w:rFonts w:ascii="Arial" w:hAnsi="Arial" w:cs="Arial"/>
          <w:sz w:val="20"/>
          <w:szCs w:val="20"/>
        </w:rPr>
      </w:pPr>
      <w:r>
        <w:rPr>
          <w:rFonts w:ascii="Arial" w:hAnsi="Arial" w:cs="Arial"/>
          <w:sz w:val="20"/>
          <w:szCs w:val="20"/>
        </w:rPr>
        <w:t>A</w:t>
      </w:r>
      <w:r w:rsidR="002609B4" w:rsidRPr="008F69E9">
        <w:rPr>
          <w:rFonts w:ascii="Arial" w:hAnsi="Arial" w:cs="Arial"/>
          <w:sz w:val="20"/>
          <w:szCs w:val="20"/>
        </w:rPr>
        <w:t xml:space="preserve">rt. </w:t>
      </w:r>
      <w:proofErr w:type="gramStart"/>
      <w:r w:rsidR="002609B4" w:rsidRPr="008F69E9">
        <w:rPr>
          <w:rFonts w:ascii="Arial" w:hAnsi="Arial" w:cs="Arial"/>
          <w:sz w:val="20"/>
          <w:szCs w:val="20"/>
        </w:rPr>
        <w:t>15 alin.</w:t>
      </w:r>
      <w:proofErr w:type="gramEnd"/>
      <w:r w:rsidR="002609B4" w:rsidRPr="008F69E9">
        <w:rPr>
          <w:rFonts w:ascii="Arial" w:hAnsi="Arial" w:cs="Arial"/>
          <w:sz w:val="20"/>
          <w:szCs w:val="20"/>
        </w:rPr>
        <w:t xml:space="preserve"> (8)</w:t>
      </w:r>
      <w:r w:rsidRPr="008259BB">
        <w:rPr>
          <w:rFonts w:ascii="Arial" w:hAnsi="Arial" w:cs="Arial"/>
          <w:sz w:val="20"/>
          <w:szCs w:val="20"/>
        </w:rPr>
        <w:t xml:space="preserve"> </w:t>
      </w:r>
      <w:proofErr w:type="gramStart"/>
      <w:r w:rsidRPr="008F69E9">
        <w:rPr>
          <w:rFonts w:ascii="Arial" w:hAnsi="Arial" w:cs="Arial"/>
          <w:sz w:val="20"/>
          <w:szCs w:val="20"/>
        </w:rPr>
        <w:t>din</w:t>
      </w:r>
      <w:proofErr w:type="gramEnd"/>
      <w:r w:rsidRPr="008F69E9">
        <w:rPr>
          <w:rFonts w:ascii="Arial" w:hAnsi="Arial" w:cs="Arial"/>
          <w:sz w:val="20"/>
          <w:szCs w:val="20"/>
        </w:rPr>
        <w:t xml:space="preserve"> O.U.G. nr. 77/</w:t>
      </w:r>
      <w:proofErr w:type="gramStart"/>
      <w:r w:rsidRPr="008F69E9">
        <w:rPr>
          <w:rFonts w:ascii="Arial" w:hAnsi="Arial" w:cs="Arial"/>
          <w:sz w:val="20"/>
          <w:szCs w:val="20"/>
        </w:rPr>
        <w:t xml:space="preserve">2009 </w:t>
      </w:r>
      <w:r w:rsidR="002609B4" w:rsidRPr="008F69E9">
        <w:rPr>
          <w:rFonts w:ascii="Arial" w:hAnsi="Arial" w:cs="Arial"/>
          <w:sz w:val="20"/>
          <w:szCs w:val="20"/>
        </w:rPr>
        <w:t xml:space="preserve"> </w:t>
      </w:r>
      <w:proofErr w:type="spellStart"/>
      <w:r w:rsidR="002609B4" w:rsidRPr="008F69E9">
        <w:rPr>
          <w:rFonts w:ascii="Arial" w:hAnsi="Arial" w:cs="Arial"/>
          <w:sz w:val="20"/>
          <w:szCs w:val="20"/>
        </w:rPr>
        <w:t>condi</w:t>
      </w:r>
      <w:proofErr w:type="gramEnd"/>
      <w:r w:rsidR="002609B4" w:rsidRPr="008F69E9">
        <w:rPr>
          <w:rFonts w:ascii="Arial" w:hAnsi="Arial" w:cs="Arial"/>
          <w:sz w:val="20"/>
          <w:szCs w:val="20"/>
        </w:rPr>
        <w:t>ționează</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desfășurarea</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activităților</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în</w:t>
      </w:r>
      <w:proofErr w:type="spellEnd"/>
      <w:r w:rsidR="002609B4" w:rsidRPr="008F69E9">
        <w:rPr>
          <w:rFonts w:ascii="Arial" w:hAnsi="Arial" w:cs="Arial"/>
          <w:sz w:val="20"/>
          <w:szCs w:val="20"/>
        </w:rPr>
        <w:t xml:space="preserve"> locații fizice de obținerea, după caz, a autorizației emise de autoritatea locală competentă.</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 Competența Consiliului Local</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 xml:space="preserve">Consiliul Local ar fi depășit competența legală și ar fi creat </w:t>
      </w:r>
      <w:proofErr w:type="gramStart"/>
      <w:r w:rsidRPr="008F69E9">
        <w:rPr>
          <w:rFonts w:ascii="Arial" w:hAnsi="Arial" w:cs="Arial"/>
          <w:sz w:val="20"/>
          <w:szCs w:val="20"/>
        </w:rPr>
        <w:t>un</w:t>
      </w:r>
      <w:proofErr w:type="gramEnd"/>
      <w:r w:rsidRPr="008F69E9">
        <w:rPr>
          <w:rFonts w:ascii="Arial" w:hAnsi="Arial" w:cs="Arial"/>
          <w:sz w:val="20"/>
          <w:szCs w:val="20"/>
        </w:rPr>
        <w:t xml:space="preserve"> regim paralel de autorizare.</w:t>
      </w:r>
    </w:p>
    <w:p w:rsidR="00992449" w:rsidRPr="008F69E9" w:rsidRDefault="002D19EB"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proofErr w:type="spellStart"/>
      <w:r w:rsidR="002609B4" w:rsidRPr="008F69E9">
        <w:rPr>
          <w:rFonts w:ascii="Arial" w:hAnsi="Arial" w:cs="Arial"/>
          <w:sz w:val="20"/>
          <w:szCs w:val="20"/>
        </w:rPr>
        <w:t>Critica</w:t>
      </w:r>
      <w:proofErr w:type="spellEnd"/>
      <w:r w:rsidR="002609B4" w:rsidRPr="008F69E9">
        <w:rPr>
          <w:rFonts w:ascii="Arial" w:hAnsi="Arial" w:cs="Arial"/>
          <w:sz w:val="20"/>
          <w:szCs w:val="20"/>
        </w:rPr>
        <w:t xml:space="preserve"> </w:t>
      </w:r>
      <w:proofErr w:type="spellStart"/>
      <w:proofErr w:type="gramStart"/>
      <w:r w:rsidR="002609B4" w:rsidRPr="008F69E9">
        <w:rPr>
          <w:rFonts w:ascii="Arial" w:hAnsi="Arial" w:cs="Arial"/>
          <w:sz w:val="20"/>
          <w:szCs w:val="20"/>
        </w:rPr>
        <w:t>este</w:t>
      </w:r>
      <w:proofErr w:type="spellEnd"/>
      <w:proofErr w:type="gramEnd"/>
      <w:r w:rsidR="002609B4" w:rsidRPr="008F69E9">
        <w:rPr>
          <w:rFonts w:ascii="Arial" w:hAnsi="Arial" w:cs="Arial"/>
          <w:sz w:val="20"/>
          <w:szCs w:val="20"/>
        </w:rPr>
        <w:t xml:space="preserve"> </w:t>
      </w:r>
      <w:proofErr w:type="spellStart"/>
      <w:r w:rsidR="002609B4" w:rsidRPr="008F69E9">
        <w:rPr>
          <w:rFonts w:ascii="Arial" w:hAnsi="Arial" w:cs="Arial"/>
          <w:sz w:val="20"/>
          <w:szCs w:val="20"/>
        </w:rPr>
        <w:t>neîntemeiată</w:t>
      </w:r>
      <w:proofErr w:type="spellEnd"/>
      <w:r w:rsidR="002609B4" w:rsidRPr="008F69E9">
        <w:rPr>
          <w:rFonts w:ascii="Arial" w:hAnsi="Arial" w:cs="Arial"/>
          <w:sz w:val="20"/>
          <w:szCs w:val="20"/>
        </w:rPr>
        <w:t xml:space="preserve">. Art. </w:t>
      </w:r>
      <w:proofErr w:type="gramStart"/>
      <w:r w:rsidR="002609B4" w:rsidRPr="008F69E9">
        <w:rPr>
          <w:rFonts w:ascii="Arial" w:hAnsi="Arial" w:cs="Arial"/>
          <w:sz w:val="20"/>
          <w:szCs w:val="20"/>
        </w:rPr>
        <w:t>18</w:t>
      </w:r>
      <w:r w:rsidR="008259BB">
        <w:rPr>
          <w:rFonts w:ascii="Arial" w:hAnsi="Arial" w:cs="Arial"/>
          <w:sz w:val="20"/>
          <w:szCs w:val="20"/>
          <w:vertAlign w:val="superscript"/>
        </w:rPr>
        <w:t>1</w:t>
      </w:r>
      <w:r w:rsidR="002609B4" w:rsidRPr="008F69E9">
        <w:rPr>
          <w:rFonts w:ascii="Arial" w:hAnsi="Arial" w:cs="Arial"/>
          <w:sz w:val="20"/>
          <w:szCs w:val="20"/>
        </w:rPr>
        <w:t xml:space="preserve"> </w:t>
      </w:r>
      <w:proofErr w:type="spellStart"/>
      <w:r w:rsidR="002609B4" w:rsidRPr="008F69E9">
        <w:rPr>
          <w:rFonts w:ascii="Arial" w:hAnsi="Arial" w:cs="Arial"/>
          <w:sz w:val="20"/>
          <w:szCs w:val="20"/>
        </w:rPr>
        <w:t>alin</w:t>
      </w:r>
      <w:proofErr w:type="spellEnd"/>
      <w:r w:rsidR="002609B4" w:rsidRPr="008F69E9">
        <w:rPr>
          <w:rFonts w:ascii="Arial" w:hAnsi="Arial" w:cs="Arial"/>
          <w:sz w:val="20"/>
          <w:szCs w:val="20"/>
        </w:rPr>
        <w:t>.</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6) din O.U.G. nr. </w:t>
      </w:r>
      <w:proofErr w:type="gramStart"/>
      <w:r w:rsidR="002609B4" w:rsidRPr="008F69E9">
        <w:rPr>
          <w:rFonts w:ascii="Arial" w:hAnsi="Arial" w:cs="Arial"/>
          <w:sz w:val="20"/>
          <w:szCs w:val="20"/>
        </w:rPr>
        <w:t>77/2009, introdus prin O.U.G. nr.</w:t>
      </w:r>
      <w:proofErr w:type="gramEnd"/>
      <w:r w:rsidR="002609B4" w:rsidRPr="008F69E9">
        <w:rPr>
          <w:rFonts w:ascii="Arial" w:hAnsi="Arial" w:cs="Arial"/>
          <w:sz w:val="20"/>
          <w:szCs w:val="20"/>
        </w:rPr>
        <w:t xml:space="preserve"> 7/2026, conferă expres consiliului local competența de a decide dacă activitățile de jocuri de noroc se pot desfășura pe teritoriul UAT, de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aproba regulamentul propriu, de a stabili zonele și taxa locală. Art. 1-3 din H.C.L. nr. </w:t>
      </w:r>
      <w:proofErr w:type="gramStart"/>
      <w:r w:rsidR="002609B4" w:rsidRPr="008F69E9">
        <w:rPr>
          <w:rFonts w:ascii="Arial" w:hAnsi="Arial" w:cs="Arial"/>
          <w:sz w:val="20"/>
          <w:szCs w:val="20"/>
        </w:rPr>
        <w:t>200/2026 reprezintă exercitarea acestei competențe, nu instituirea uneia noi.</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2. Taxa locală</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Taxa de 2.000 lei/mp și pragul minim de 50.000 lei ar fi excesive și nefundamentate.</w:t>
      </w:r>
    </w:p>
    <w:p w:rsidR="00992449" w:rsidRPr="008F69E9" w:rsidRDefault="002D19EB"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proofErr w:type="spellStart"/>
      <w:r w:rsidR="002609B4" w:rsidRPr="008F69E9">
        <w:rPr>
          <w:rFonts w:ascii="Arial" w:hAnsi="Arial" w:cs="Arial"/>
          <w:sz w:val="20"/>
          <w:szCs w:val="20"/>
        </w:rPr>
        <w:t>Critica</w:t>
      </w:r>
      <w:proofErr w:type="spellEnd"/>
      <w:r w:rsidR="002609B4" w:rsidRPr="008F69E9">
        <w:rPr>
          <w:rFonts w:ascii="Arial" w:hAnsi="Arial" w:cs="Arial"/>
          <w:sz w:val="20"/>
          <w:szCs w:val="20"/>
        </w:rPr>
        <w:t xml:space="preserve"> </w:t>
      </w:r>
      <w:proofErr w:type="spellStart"/>
      <w:proofErr w:type="gramStart"/>
      <w:r w:rsidR="002609B4" w:rsidRPr="008F69E9">
        <w:rPr>
          <w:rFonts w:ascii="Arial" w:hAnsi="Arial" w:cs="Arial"/>
          <w:sz w:val="20"/>
          <w:szCs w:val="20"/>
        </w:rPr>
        <w:t>este</w:t>
      </w:r>
      <w:proofErr w:type="spellEnd"/>
      <w:proofErr w:type="gramEnd"/>
      <w:r w:rsidR="002609B4" w:rsidRPr="008F69E9">
        <w:rPr>
          <w:rFonts w:ascii="Arial" w:hAnsi="Arial" w:cs="Arial"/>
          <w:sz w:val="20"/>
          <w:szCs w:val="20"/>
        </w:rPr>
        <w:t xml:space="preserve"> </w:t>
      </w:r>
      <w:proofErr w:type="spellStart"/>
      <w:r w:rsidR="002609B4" w:rsidRPr="008F69E9">
        <w:rPr>
          <w:rFonts w:ascii="Arial" w:hAnsi="Arial" w:cs="Arial"/>
          <w:sz w:val="20"/>
          <w:szCs w:val="20"/>
        </w:rPr>
        <w:t>neîntemeiată</w:t>
      </w:r>
      <w:proofErr w:type="spellEnd"/>
      <w:r w:rsidR="002609B4" w:rsidRPr="008F69E9">
        <w:rPr>
          <w:rFonts w:ascii="Arial" w:hAnsi="Arial" w:cs="Arial"/>
          <w:sz w:val="20"/>
          <w:szCs w:val="20"/>
        </w:rPr>
        <w:t xml:space="preserve">. Art. </w:t>
      </w:r>
      <w:proofErr w:type="gramStart"/>
      <w:r w:rsidR="002609B4" w:rsidRPr="008F69E9">
        <w:rPr>
          <w:rFonts w:ascii="Arial" w:hAnsi="Arial" w:cs="Arial"/>
          <w:sz w:val="20"/>
          <w:szCs w:val="20"/>
        </w:rPr>
        <w:t>18</w:t>
      </w:r>
      <w:r>
        <w:rPr>
          <w:rFonts w:ascii="Arial" w:hAnsi="Arial" w:cs="Arial"/>
          <w:sz w:val="20"/>
          <w:szCs w:val="20"/>
          <w:vertAlign w:val="superscript"/>
        </w:rPr>
        <w:t>1</w:t>
      </w:r>
      <w:r w:rsidR="002609B4" w:rsidRPr="008F69E9">
        <w:rPr>
          <w:rFonts w:ascii="Arial" w:hAnsi="Arial" w:cs="Arial"/>
          <w:sz w:val="20"/>
          <w:szCs w:val="20"/>
        </w:rPr>
        <w:t xml:space="preserve"> </w:t>
      </w:r>
      <w:proofErr w:type="spellStart"/>
      <w:r w:rsidR="002609B4" w:rsidRPr="008F69E9">
        <w:rPr>
          <w:rFonts w:ascii="Arial" w:hAnsi="Arial" w:cs="Arial"/>
          <w:sz w:val="20"/>
          <w:szCs w:val="20"/>
        </w:rPr>
        <w:t>alin</w:t>
      </w:r>
      <w:proofErr w:type="spellEnd"/>
      <w:r w:rsidR="002609B4" w:rsidRPr="008F69E9">
        <w:rPr>
          <w:rFonts w:ascii="Arial" w:hAnsi="Arial" w:cs="Arial"/>
          <w:sz w:val="20"/>
          <w:szCs w:val="20"/>
        </w:rPr>
        <w:t>.</w:t>
      </w:r>
      <w:proofErr w:type="gramEnd"/>
      <w:r w:rsidR="002609B4" w:rsidRPr="008F69E9">
        <w:rPr>
          <w:rFonts w:ascii="Arial" w:hAnsi="Arial" w:cs="Arial"/>
          <w:sz w:val="20"/>
          <w:szCs w:val="20"/>
        </w:rPr>
        <w:t xml:space="preserve"> (4)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b)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O.U.G. nr. </w:t>
      </w:r>
      <w:proofErr w:type="gramStart"/>
      <w:r w:rsidR="002609B4" w:rsidRPr="008F69E9">
        <w:rPr>
          <w:rFonts w:ascii="Arial" w:hAnsi="Arial" w:cs="Arial"/>
          <w:sz w:val="20"/>
          <w:szCs w:val="20"/>
        </w:rPr>
        <w:t>77/2009 permite stabilirea taxei locale, iar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3 alin.</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4) din H.C.L. nr. </w:t>
      </w:r>
      <w:proofErr w:type="gramStart"/>
      <w:r w:rsidR="002609B4" w:rsidRPr="008F69E9">
        <w:rPr>
          <w:rFonts w:ascii="Arial" w:hAnsi="Arial" w:cs="Arial"/>
          <w:sz w:val="20"/>
          <w:szCs w:val="20"/>
        </w:rPr>
        <w:t>200/2026 stabilește criteriul obiectiv al suprafeței utile, tarifele diferențiate și pragul minim.</w:t>
      </w:r>
      <w:proofErr w:type="gramEnd"/>
      <w:r w:rsidR="002609B4" w:rsidRPr="008F69E9">
        <w:rPr>
          <w:rFonts w:ascii="Arial" w:hAnsi="Arial" w:cs="Arial"/>
          <w:sz w:val="20"/>
          <w:szCs w:val="20"/>
        </w:rPr>
        <w:t xml:space="preserve"> Taxa nu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redusă la contravaloarea operațiunii administrative de analiză a dosarului; ea este o taxă locală stabilită în competența expresă a consiliului local. Petenta nu indică o </w:t>
      </w:r>
      <w:proofErr w:type="gramStart"/>
      <w:r w:rsidR="002609B4" w:rsidRPr="008F69E9">
        <w:rPr>
          <w:rFonts w:ascii="Arial" w:hAnsi="Arial" w:cs="Arial"/>
          <w:sz w:val="20"/>
          <w:szCs w:val="20"/>
        </w:rPr>
        <w:t>normă</w:t>
      </w:r>
      <w:proofErr w:type="gramEnd"/>
      <w:r w:rsidR="002609B4" w:rsidRPr="008F69E9">
        <w:rPr>
          <w:rFonts w:ascii="Arial" w:hAnsi="Arial" w:cs="Arial"/>
          <w:sz w:val="20"/>
          <w:szCs w:val="20"/>
        </w:rPr>
        <w:t xml:space="preserve"> superioară care ar interzice pragul minim sau criteriul suprafeței.</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3. Plata taxei și revocarea</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Revocarea de drept pentru neplata taxei în 30 de zile ar fi lipsită de garanții procedurale.</w:t>
      </w:r>
    </w:p>
    <w:p w:rsidR="00992449" w:rsidRPr="008F69E9" w:rsidRDefault="002D19EB"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w:t>
      </w:r>
      <w:r>
        <w:rPr>
          <w:rFonts w:ascii="Arial" w:hAnsi="Arial" w:cs="Arial"/>
          <w:b/>
          <w:sz w:val="20"/>
          <w:szCs w:val="20"/>
        </w:rPr>
        <w:t xml:space="preserve"> </w:t>
      </w:r>
      <w:proofErr w:type="spellStart"/>
      <w:r w:rsidRPr="002D19EB">
        <w:rPr>
          <w:rFonts w:ascii="Arial" w:hAnsi="Arial" w:cs="Arial"/>
          <w:sz w:val="20"/>
          <w:szCs w:val="20"/>
        </w:rPr>
        <w:t>Potrivit</w:t>
      </w:r>
      <w:proofErr w:type="spellEnd"/>
      <w:r w:rsidRPr="002D19EB">
        <w:rPr>
          <w:rFonts w:ascii="Arial" w:hAnsi="Arial" w:cs="Arial"/>
          <w:sz w:val="20"/>
          <w:szCs w:val="20"/>
        </w:rPr>
        <w:t xml:space="preserve"> </w:t>
      </w:r>
      <w:r>
        <w:rPr>
          <w:rFonts w:ascii="Arial" w:hAnsi="Arial" w:cs="Arial"/>
          <w:sz w:val="20"/>
          <w:szCs w:val="20"/>
        </w:rPr>
        <w:t>A</w:t>
      </w:r>
      <w:r w:rsidRPr="002D19EB">
        <w:rPr>
          <w:rFonts w:ascii="Arial" w:hAnsi="Arial" w:cs="Arial"/>
          <w:sz w:val="20"/>
          <w:szCs w:val="20"/>
        </w:rPr>
        <w:t>rt.18</w:t>
      </w:r>
      <w:r w:rsidRPr="002D19EB">
        <w:rPr>
          <w:rFonts w:ascii="Arial" w:hAnsi="Arial" w:cs="Arial"/>
          <w:sz w:val="20"/>
          <w:szCs w:val="20"/>
          <w:vertAlign w:val="superscript"/>
        </w:rPr>
        <w:t>1</w:t>
      </w:r>
      <w:r w:rsidR="002609B4" w:rsidRPr="008F69E9">
        <w:rPr>
          <w:rFonts w:ascii="Arial" w:hAnsi="Arial" w:cs="Arial"/>
          <w:b/>
          <w:sz w:val="20"/>
          <w:szCs w:val="20"/>
        </w:rPr>
        <w:t xml:space="preserve"> </w:t>
      </w:r>
      <w:r w:rsidRPr="008F69E9">
        <w:rPr>
          <w:rFonts w:ascii="Arial" w:hAnsi="Arial" w:cs="Arial"/>
          <w:sz w:val="20"/>
          <w:szCs w:val="20"/>
        </w:rPr>
        <w:t xml:space="preserve">din O.U.G. nr. </w:t>
      </w:r>
      <w:proofErr w:type="gramStart"/>
      <w:r w:rsidRPr="008F69E9">
        <w:rPr>
          <w:rFonts w:ascii="Arial" w:hAnsi="Arial" w:cs="Arial"/>
          <w:sz w:val="20"/>
          <w:szCs w:val="20"/>
        </w:rPr>
        <w:t>77/2009</w:t>
      </w:r>
      <w:r>
        <w:rPr>
          <w:rFonts w:ascii="Arial" w:hAnsi="Arial" w:cs="Arial"/>
          <w:sz w:val="20"/>
          <w:szCs w:val="20"/>
        </w:rPr>
        <w:t xml:space="preserve"> </w:t>
      </w:r>
      <w:proofErr w:type="spellStart"/>
      <w:r>
        <w:rPr>
          <w:rFonts w:ascii="Arial" w:hAnsi="Arial" w:cs="Arial"/>
          <w:sz w:val="20"/>
          <w:szCs w:val="20"/>
        </w:rPr>
        <w:t>taxa</w:t>
      </w:r>
      <w:proofErr w:type="spellEnd"/>
      <w:r>
        <w:rPr>
          <w:rFonts w:ascii="Arial" w:hAnsi="Arial" w:cs="Arial"/>
          <w:sz w:val="20"/>
          <w:szCs w:val="20"/>
        </w:rPr>
        <w:t xml:space="preserve"> </w:t>
      </w:r>
      <w:proofErr w:type="spellStart"/>
      <w:r>
        <w:rPr>
          <w:rFonts w:ascii="Arial" w:hAnsi="Arial" w:cs="Arial"/>
          <w:sz w:val="20"/>
          <w:szCs w:val="20"/>
        </w:rPr>
        <w:t>locală</w:t>
      </w:r>
      <w:proofErr w:type="spellEnd"/>
      <w:r>
        <w:rPr>
          <w:rFonts w:ascii="Arial" w:hAnsi="Arial" w:cs="Arial"/>
          <w:sz w:val="20"/>
          <w:szCs w:val="20"/>
        </w:rPr>
        <w:t xml:space="preserve"> </w:t>
      </w:r>
      <w:proofErr w:type="spellStart"/>
      <w:r>
        <w:rPr>
          <w:rFonts w:ascii="Arial" w:hAnsi="Arial" w:cs="Arial"/>
          <w:sz w:val="20"/>
          <w:szCs w:val="20"/>
        </w:rPr>
        <w:t>anuală</w:t>
      </w:r>
      <w:proofErr w:type="spellEnd"/>
      <w:r>
        <w:rPr>
          <w:rFonts w:ascii="Arial" w:hAnsi="Arial" w:cs="Arial"/>
          <w:sz w:val="20"/>
          <w:szCs w:val="20"/>
        </w:rPr>
        <w:t xml:space="preserve"> se </w:t>
      </w:r>
      <w:proofErr w:type="spellStart"/>
      <w:r>
        <w:rPr>
          <w:rFonts w:ascii="Arial" w:hAnsi="Arial" w:cs="Arial"/>
          <w:sz w:val="20"/>
          <w:szCs w:val="20"/>
        </w:rPr>
        <w:t>achită</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termen</w:t>
      </w:r>
      <w:proofErr w:type="spellEnd"/>
      <w:r>
        <w:rPr>
          <w:rFonts w:ascii="Arial" w:hAnsi="Arial" w:cs="Arial"/>
          <w:sz w:val="20"/>
          <w:szCs w:val="20"/>
        </w:rPr>
        <w:t xml:space="preserve"> de 30 de </w:t>
      </w:r>
      <w:proofErr w:type="spellStart"/>
      <w:r>
        <w:rPr>
          <w:rFonts w:ascii="Arial" w:hAnsi="Arial" w:cs="Arial"/>
          <w:sz w:val="20"/>
          <w:szCs w:val="20"/>
        </w:rPr>
        <w:t>zile</w:t>
      </w:r>
      <w:proofErr w:type="spellEnd"/>
      <w:r>
        <w:rPr>
          <w:rFonts w:ascii="Arial" w:hAnsi="Arial" w:cs="Arial"/>
          <w:sz w:val="20"/>
          <w:szCs w:val="20"/>
        </w:rPr>
        <w:t xml:space="preserve"> de la </w:t>
      </w:r>
      <w:proofErr w:type="spellStart"/>
      <w:r>
        <w:rPr>
          <w:rFonts w:ascii="Arial" w:hAnsi="Arial" w:cs="Arial"/>
          <w:sz w:val="20"/>
          <w:szCs w:val="20"/>
        </w:rPr>
        <w:t>emiterea</w:t>
      </w:r>
      <w:proofErr w:type="spellEnd"/>
      <w:r>
        <w:rPr>
          <w:rFonts w:ascii="Arial" w:hAnsi="Arial" w:cs="Arial"/>
          <w:sz w:val="20"/>
          <w:szCs w:val="20"/>
        </w:rPr>
        <w:t xml:space="preserve"> </w:t>
      </w:r>
      <w:proofErr w:type="spellStart"/>
      <w:r>
        <w:rPr>
          <w:rFonts w:ascii="Arial" w:hAnsi="Arial" w:cs="Arial"/>
          <w:sz w:val="20"/>
          <w:szCs w:val="20"/>
        </w:rPr>
        <w:t>autorizației</w:t>
      </w:r>
      <w:proofErr w:type="spellEnd"/>
      <w:r>
        <w:rPr>
          <w:rFonts w:ascii="Arial" w:hAnsi="Arial" w:cs="Arial"/>
          <w:sz w:val="20"/>
          <w:szCs w:val="20"/>
        </w:rPr>
        <w:t xml:space="preserve"> de </w:t>
      </w:r>
      <w:proofErr w:type="spellStart"/>
      <w:r>
        <w:rPr>
          <w:rFonts w:ascii="Arial" w:hAnsi="Arial" w:cs="Arial"/>
          <w:sz w:val="20"/>
          <w:szCs w:val="20"/>
        </w:rPr>
        <w:t>funcționare</w:t>
      </w:r>
      <w:proofErr w:type="spellEnd"/>
      <w:r>
        <w:rPr>
          <w:rFonts w:ascii="Arial" w:hAnsi="Arial" w:cs="Arial"/>
          <w:sz w:val="20"/>
          <w:szCs w:val="20"/>
        </w:rPr>
        <w:t>.</w:t>
      </w:r>
      <w:proofErr w:type="gramEnd"/>
      <w:r w:rsidRPr="008F69E9">
        <w:rPr>
          <w:rFonts w:ascii="Arial" w:hAnsi="Arial" w:cs="Arial"/>
          <w:sz w:val="20"/>
          <w:szCs w:val="20"/>
        </w:rPr>
        <w:t xml:space="preserve"> </w:t>
      </w:r>
      <w:r>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3 alin.</w:t>
      </w:r>
      <w:proofErr w:type="gramEnd"/>
      <w:r w:rsidR="002609B4" w:rsidRPr="008F69E9">
        <w:rPr>
          <w:rFonts w:ascii="Arial" w:hAnsi="Arial" w:cs="Arial"/>
          <w:sz w:val="20"/>
          <w:szCs w:val="20"/>
        </w:rPr>
        <w:t xml:space="preserve"> (5)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H.C.L. nr. </w:t>
      </w:r>
      <w:proofErr w:type="gramStart"/>
      <w:r w:rsidR="002609B4" w:rsidRPr="008F69E9">
        <w:rPr>
          <w:rFonts w:ascii="Arial" w:hAnsi="Arial" w:cs="Arial"/>
          <w:sz w:val="20"/>
          <w:szCs w:val="20"/>
        </w:rPr>
        <w:t>200/2026 stabilește termenul de plată și consecința neplății.</w:t>
      </w:r>
      <w:proofErr w:type="gramEnd"/>
      <w:r w:rsidR="002609B4" w:rsidRPr="008F69E9">
        <w:rPr>
          <w:rFonts w:ascii="Arial" w:hAnsi="Arial" w:cs="Arial"/>
          <w:sz w:val="20"/>
          <w:szCs w:val="20"/>
        </w:rPr>
        <w:t xml:space="preserve"> Art. </w:t>
      </w:r>
      <w:proofErr w:type="gramStart"/>
      <w:r w:rsidR="002609B4" w:rsidRPr="008F69E9">
        <w:rPr>
          <w:rFonts w:ascii="Arial" w:hAnsi="Arial" w:cs="Arial"/>
          <w:sz w:val="20"/>
          <w:szCs w:val="20"/>
        </w:rPr>
        <w:t>18 alin.</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2) din regulament prevede emiterea dispoziției primarului și comunicarea în scris a motivelor. Actul individual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supus căilor administrative și contenciosului administrativ, în condițiile Legii nr. </w:t>
      </w:r>
      <w:proofErr w:type="gramStart"/>
      <w:r w:rsidR="002609B4" w:rsidRPr="008F69E9">
        <w:rPr>
          <w:rFonts w:ascii="Arial" w:hAnsi="Arial" w:cs="Arial"/>
          <w:sz w:val="20"/>
          <w:szCs w:val="20"/>
        </w:rPr>
        <w:t>554/2004.</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4. Acordarea prin hotărâre</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Acordarea autorizației prin hotărâre a Consiliului Local ar permite aprecierea politică.</w:t>
      </w:r>
    </w:p>
    <w:p w:rsidR="00992449" w:rsidRPr="008F69E9" w:rsidRDefault="002D19EB"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3 alin.</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2), art. </w:t>
      </w:r>
      <w:proofErr w:type="gramStart"/>
      <w:r w:rsidR="002609B4" w:rsidRPr="008F69E9">
        <w:rPr>
          <w:rFonts w:ascii="Arial" w:hAnsi="Arial" w:cs="Arial"/>
          <w:sz w:val="20"/>
          <w:szCs w:val="20"/>
        </w:rPr>
        <w:t>11 și art.</w:t>
      </w:r>
      <w:proofErr w:type="gramEnd"/>
      <w:r w:rsidR="002609B4" w:rsidRPr="008F69E9">
        <w:rPr>
          <w:rFonts w:ascii="Arial" w:hAnsi="Arial" w:cs="Arial"/>
          <w:sz w:val="20"/>
          <w:szCs w:val="20"/>
        </w:rPr>
        <w:t xml:space="preserve"> 12 din regulament prevăd verificarea documentației și a locației de către aparatul de specialitate înainte de înaintarea proiectului către Consiliul Local. </w:t>
      </w:r>
      <w:proofErr w:type="gramStart"/>
      <w:r w:rsidR="002609B4" w:rsidRPr="008F69E9">
        <w:rPr>
          <w:rFonts w:ascii="Arial" w:hAnsi="Arial" w:cs="Arial"/>
          <w:sz w:val="20"/>
          <w:szCs w:val="20"/>
        </w:rPr>
        <w:t>Soluția se întemeiază pe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18</w:t>
      </w:r>
      <w:r>
        <w:rPr>
          <w:rFonts w:ascii="Arial" w:hAnsi="Arial" w:cs="Arial"/>
          <w:sz w:val="20"/>
          <w:szCs w:val="20"/>
          <w:vertAlign w:val="superscript"/>
        </w:rPr>
        <w:t>1</w:t>
      </w:r>
      <w:r w:rsidR="002609B4" w:rsidRPr="008F69E9">
        <w:rPr>
          <w:rFonts w:ascii="Arial" w:hAnsi="Arial" w:cs="Arial"/>
          <w:sz w:val="20"/>
          <w:szCs w:val="20"/>
        </w:rPr>
        <w:t xml:space="preserve"> </w:t>
      </w:r>
      <w:proofErr w:type="spellStart"/>
      <w:r w:rsidR="002609B4" w:rsidRPr="008F69E9">
        <w:rPr>
          <w:rFonts w:ascii="Arial" w:hAnsi="Arial" w:cs="Arial"/>
          <w:sz w:val="20"/>
          <w:szCs w:val="20"/>
        </w:rPr>
        <w:t>alin</w:t>
      </w:r>
      <w:proofErr w:type="spellEnd"/>
      <w:r w:rsidR="002609B4" w:rsidRPr="008F69E9">
        <w:rPr>
          <w:rFonts w:ascii="Arial" w:hAnsi="Arial" w:cs="Arial"/>
          <w:sz w:val="20"/>
          <w:szCs w:val="20"/>
        </w:rPr>
        <w:t>.</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6) din O.U.G. nr. </w:t>
      </w:r>
      <w:proofErr w:type="gramStart"/>
      <w:r w:rsidR="002609B4" w:rsidRPr="008F69E9">
        <w:rPr>
          <w:rFonts w:ascii="Arial" w:hAnsi="Arial" w:cs="Arial"/>
          <w:sz w:val="20"/>
          <w:szCs w:val="20"/>
        </w:rPr>
        <w:t>77/2009, iar refuzul trebuie motivat potrivit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14 alin.</w:t>
      </w:r>
      <w:proofErr w:type="gramEnd"/>
      <w:r w:rsidR="002609B4" w:rsidRPr="008F69E9">
        <w:rPr>
          <w:rFonts w:ascii="Arial" w:hAnsi="Arial" w:cs="Arial"/>
          <w:sz w:val="20"/>
          <w:szCs w:val="20"/>
        </w:rPr>
        <w:t xml:space="preserve"> (2)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regulament.</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lastRenderedPageBreak/>
        <w:t>5. Raportul cu O.N.J.N.</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Regulamentul ar crea confuzie între autorizația locală și autorizația O.N.J.N.</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9 alin.</w:t>
      </w:r>
      <w:proofErr w:type="gramEnd"/>
      <w:r w:rsidR="002609B4" w:rsidRPr="008F69E9">
        <w:rPr>
          <w:rFonts w:ascii="Arial" w:hAnsi="Arial" w:cs="Arial"/>
          <w:sz w:val="20"/>
          <w:szCs w:val="20"/>
        </w:rPr>
        <w:t xml:space="preserve"> (2) și alin. (4), coroborat cu art. </w:t>
      </w:r>
      <w:proofErr w:type="gramStart"/>
      <w:r w:rsidR="002609B4" w:rsidRPr="008F69E9">
        <w:rPr>
          <w:rFonts w:ascii="Arial" w:hAnsi="Arial" w:cs="Arial"/>
          <w:sz w:val="20"/>
          <w:szCs w:val="20"/>
        </w:rPr>
        <w:t>10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regulament, diferențiază solicitantul inițial de cazul prelungirii. </w:t>
      </w:r>
      <w:proofErr w:type="spellStart"/>
      <w:r w:rsidR="002609B4" w:rsidRPr="008F69E9">
        <w:rPr>
          <w:rFonts w:ascii="Arial" w:hAnsi="Arial" w:cs="Arial"/>
          <w:sz w:val="20"/>
          <w:szCs w:val="20"/>
        </w:rPr>
        <w:t>Pentru</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solicitantul</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inițial</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autorizația</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locală</w:t>
      </w:r>
      <w:proofErr w:type="spellEnd"/>
      <w:r w:rsidR="002609B4" w:rsidRPr="008F69E9">
        <w:rPr>
          <w:rFonts w:ascii="Arial" w:hAnsi="Arial" w:cs="Arial"/>
          <w:sz w:val="20"/>
          <w:szCs w:val="20"/>
        </w:rPr>
        <w:t xml:space="preserve"> </w:t>
      </w:r>
      <w:proofErr w:type="spellStart"/>
      <w:proofErr w:type="gramStart"/>
      <w:r w:rsidR="002609B4" w:rsidRPr="008F69E9">
        <w:rPr>
          <w:rFonts w:ascii="Arial" w:hAnsi="Arial" w:cs="Arial"/>
          <w:sz w:val="20"/>
          <w:szCs w:val="20"/>
        </w:rPr>
        <w:t>este</w:t>
      </w:r>
      <w:proofErr w:type="spellEnd"/>
      <w:proofErr w:type="gramEnd"/>
      <w:r w:rsidR="002609B4" w:rsidRPr="008F69E9">
        <w:rPr>
          <w:rFonts w:ascii="Arial" w:hAnsi="Arial" w:cs="Arial"/>
          <w:sz w:val="20"/>
          <w:szCs w:val="20"/>
        </w:rPr>
        <w:t xml:space="preserve"> </w:t>
      </w:r>
      <w:proofErr w:type="spellStart"/>
      <w:r w:rsidR="002609B4" w:rsidRPr="008F69E9">
        <w:rPr>
          <w:rFonts w:ascii="Arial" w:hAnsi="Arial" w:cs="Arial"/>
          <w:sz w:val="20"/>
          <w:szCs w:val="20"/>
        </w:rPr>
        <w:t>obținută</w:t>
      </w:r>
      <w:proofErr w:type="spellEnd"/>
      <w:r w:rsidR="002609B4" w:rsidRPr="008F69E9">
        <w:rPr>
          <w:rFonts w:ascii="Arial" w:hAnsi="Arial" w:cs="Arial"/>
          <w:sz w:val="20"/>
          <w:szCs w:val="20"/>
        </w:rPr>
        <w:t xml:space="preserve"> anterior </w:t>
      </w:r>
      <w:proofErr w:type="spellStart"/>
      <w:r w:rsidR="002609B4" w:rsidRPr="008F69E9">
        <w:rPr>
          <w:rFonts w:ascii="Arial" w:hAnsi="Arial" w:cs="Arial"/>
          <w:sz w:val="20"/>
          <w:szCs w:val="20"/>
        </w:rPr>
        <w:t>solicitării</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autorizației</w:t>
      </w:r>
      <w:proofErr w:type="spellEnd"/>
      <w:r w:rsidR="002609B4" w:rsidRPr="008F69E9">
        <w:rPr>
          <w:rFonts w:ascii="Arial" w:hAnsi="Arial" w:cs="Arial"/>
          <w:sz w:val="20"/>
          <w:szCs w:val="20"/>
        </w:rPr>
        <w:t xml:space="preserve"> de </w:t>
      </w:r>
      <w:proofErr w:type="spellStart"/>
      <w:r w:rsidR="002609B4" w:rsidRPr="008F69E9">
        <w:rPr>
          <w:rFonts w:ascii="Arial" w:hAnsi="Arial" w:cs="Arial"/>
          <w:sz w:val="20"/>
          <w:szCs w:val="20"/>
        </w:rPr>
        <w:t>exploatare</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pentru</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prelungiri</w:t>
      </w:r>
      <w:proofErr w:type="spellEnd"/>
      <w:r w:rsidR="002609B4" w:rsidRPr="008F69E9">
        <w:rPr>
          <w:rFonts w:ascii="Arial" w:hAnsi="Arial" w:cs="Arial"/>
          <w:sz w:val="20"/>
          <w:szCs w:val="20"/>
        </w:rPr>
        <w:t xml:space="preserve"> se </w:t>
      </w:r>
      <w:proofErr w:type="spellStart"/>
      <w:r w:rsidR="002609B4" w:rsidRPr="008F69E9">
        <w:rPr>
          <w:rFonts w:ascii="Arial" w:hAnsi="Arial" w:cs="Arial"/>
          <w:sz w:val="20"/>
          <w:szCs w:val="20"/>
        </w:rPr>
        <w:t>depune</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ș</w:t>
      </w:r>
      <w:r w:rsidR="002D19EB">
        <w:rPr>
          <w:rFonts w:ascii="Arial" w:hAnsi="Arial" w:cs="Arial"/>
          <w:sz w:val="20"/>
          <w:szCs w:val="20"/>
        </w:rPr>
        <w:t>i</w:t>
      </w:r>
      <w:proofErr w:type="spellEnd"/>
      <w:r w:rsidR="002D19EB">
        <w:rPr>
          <w:rFonts w:ascii="Arial" w:hAnsi="Arial" w:cs="Arial"/>
          <w:sz w:val="20"/>
          <w:szCs w:val="20"/>
        </w:rPr>
        <w:t xml:space="preserve"> </w:t>
      </w:r>
      <w:proofErr w:type="spellStart"/>
      <w:r w:rsidR="002D19EB">
        <w:rPr>
          <w:rFonts w:ascii="Arial" w:hAnsi="Arial" w:cs="Arial"/>
          <w:sz w:val="20"/>
          <w:szCs w:val="20"/>
        </w:rPr>
        <w:t>autorizația</w:t>
      </w:r>
      <w:proofErr w:type="spellEnd"/>
      <w:r w:rsidR="002D19EB">
        <w:rPr>
          <w:rFonts w:ascii="Arial" w:hAnsi="Arial" w:cs="Arial"/>
          <w:sz w:val="20"/>
          <w:szCs w:val="20"/>
        </w:rPr>
        <w:t xml:space="preserve"> O.N.J.N. </w:t>
      </w:r>
      <w:proofErr w:type="spellStart"/>
      <w:r w:rsidR="002D19EB">
        <w:rPr>
          <w:rFonts w:ascii="Arial" w:hAnsi="Arial" w:cs="Arial"/>
          <w:sz w:val="20"/>
          <w:szCs w:val="20"/>
        </w:rPr>
        <w:t>valabilă</w:t>
      </w:r>
      <w:proofErr w:type="spellEnd"/>
      <w:r w:rsidR="002609B4" w:rsidRPr="008F69E9">
        <w:rPr>
          <w:rFonts w:ascii="Arial" w:hAnsi="Arial" w:cs="Arial"/>
          <w:sz w:val="20"/>
          <w:szCs w:val="20"/>
        </w:rPr>
        <w:t xml:space="preserve">. Această succesiune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conformă art. </w:t>
      </w:r>
      <w:proofErr w:type="gramStart"/>
      <w:r w:rsidR="002609B4" w:rsidRPr="008F69E9">
        <w:rPr>
          <w:rFonts w:ascii="Arial" w:hAnsi="Arial" w:cs="Arial"/>
          <w:sz w:val="20"/>
          <w:szCs w:val="20"/>
        </w:rPr>
        <w:t>15 alin.</w:t>
      </w:r>
      <w:proofErr w:type="gramEnd"/>
      <w:r w:rsidR="002609B4" w:rsidRPr="008F69E9">
        <w:rPr>
          <w:rFonts w:ascii="Arial" w:hAnsi="Arial" w:cs="Arial"/>
          <w:sz w:val="20"/>
          <w:szCs w:val="20"/>
        </w:rPr>
        <w:t xml:space="preserve"> (8)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O.U.G. nr. </w:t>
      </w:r>
      <w:proofErr w:type="gramStart"/>
      <w:r w:rsidR="002609B4" w:rsidRPr="008F69E9">
        <w:rPr>
          <w:rFonts w:ascii="Arial" w:hAnsi="Arial" w:cs="Arial"/>
          <w:sz w:val="20"/>
          <w:szCs w:val="20"/>
        </w:rPr>
        <w:t>77/2009.</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6. Distanța de 200 m</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Distanța față de instituțiile de învățământ ar fi excesivă și impredictibilă.</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a)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regulament prevede distanța minimă și metoda exactă de calcul: perimetral, de la limita de proprietate, pe traseul pietonal real și numai pe căi publice. </w:t>
      </w:r>
      <w:proofErr w:type="gramStart"/>
      <w:r w:rsidR="002609B4" w:rsidRPr="008F69E9">
        <w:rPr>
          <w:rFonts w:ascii="Arial" w:hAnsi="Arial" w:cs="Arial"/>
          <w:sz w:val="20"/>
          <w:szCs w:val="20"/>
        </w:rPr>
        <w:t>Măsura urmărește obiectivele prevăzute la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1 alin.</w:t>
      </w:r>
      <w:proofErr w:type="gramEnd"/>
      <w:r w:rsidR="002609B4" w:rsidRPr="008F69E9">
        <w:rPr>
          <w:rFonts w:ascii="Arial" w:hAnsi="Arial" w:cs="Arial"/>
          <w:sz w:val="20"/>
          <w:szCs w:val="20"/>
        </w:rPr>
        <w:t xml:space="preserve"> (3) și art. </w:t>
      </w:r>
      <w:proofErr w:type="gramStart"/>
      <w:r w:rsidR="002609B4" w:rsidRPr="008F69E9">
        <w:rPr>
          <w:rFonts w:ascii="Arial" w:hAnsi="Arial" w:cs="Arial"/>
          <w:sz w:val="20"/>
          <w:szCs w:val="20"/>
        </w:rPr>
        <w:t>6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)-c) din regulament, respectiv protecția minorilor și a persoanelor vulnerabile.</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7. Spațiile din blocuri</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Interdicția pentru spații provenite din locuințe ar fi generală și disproporționată.</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b) nu interzice toate spațiile comerciale din blocuri, ci numai locațiile din imobile cu destinație inițială de locuință, ulterior schimbate în spații comerciale, precum și extinderile acestora, aflate în blocuri de locuințe. Măsura se înscrie în competența de stabilire a condițiilor locale și urmărește protejarea ordinii și liniștii publice.</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8. Fațade și publicitate</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Cerințele privind fațadele și opacizarea vitrinelor ar fi vagi și excesive.</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c) </w:t>
      </w:r>
      <w:proofErr w:type="gramStart"/>
      <w:r w:rsidR="002609B4" w:rsidRPr="008F69E9">
        <w:rPr>
          <w:rFonts w:ascii="Arial" w:hAnsi="Arial" w:cs="Arial"/>
          <w:sz w:val="20"/>
          <w:szCs w:val="20"/>
        </w:rPr>
        <w:t>enumeră</w:t>
      </w:r>
      <w:proofErr w:type="gramEnd"/>
      <w:r w:rsidR="002609B4" w:rsidRPr="008F69E9">
        <w:rPr>
          <w:rFonts w:ascii="Arial" w:hAnsi="Arial" w:cs="Arial"/>
          <w:sz w:val="20"/>
          <w:szCs w:val="20"/>
        </w:rPr>
        <w:t xml:space="preserve"> concret restricțiile: lumini intermitente, culori stridente, imagini privind câștiguri sau premii, elemente grafice excesiv stimulative. Opacizarea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în concordanță cu cerințele aplicabile jocurilor de tip slot-machine din Normele metodologice aprobate prin H.G. nr. </w:t>
      </w:r>
      <w:proofErr w:type="gramStart"/>
      <w:r w:rsidR="002609B4" w:rsidRPr="008F69E9">
        <w:rPr>
          <w:rFonts w:ascii="Arial" w:hAnsi="Arial" w:cs="Arial"/>
          <w:sz w:val="20"/>
          <w:szCs w:val="20"/>
        </w:rPr>
        <w:t>111/2016, inclusiv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80 alin.</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2).</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9. Alcool, acces și cadastru</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Condițiile privind alcoolul, accesul independent și identificarea cadastrală ar fi disproporționate.</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i), j) și l) din regulament urmărește verificarea separării reale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activității de jocuri de noroc de activitatea de comercializare a alcoolului. Regula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în concordanță cu art. </w:t>
      </w:r>
      <w:proofErr w:type="gramStart"/>
      <w:r w:rsidR="002609B4" w:rsidRPr="008F69E9">
        <w:rPr>
          <w:rFonts w:ascii="Arial" w:hAnsi="Arial" w:cs="Arial"/>
          <w:sz w:val="20"/>
          <w:szCs w:val="20"/>
        </w:rPr>
        <w:t>15 alin.</w:t>
      </w:r>
      <w:proofErr w:type="gramEnd"/>
      <w:r w:rsidR="002609B4" w:rsidRPr="008F69E9">
        <w:rPr>
          <w:rFonts w:ascii="Arial" w:hAnsi="Arial" w:cs="Arial"/>
          <w:sz w:val="20"/>
          <w:szCs w:val="20"/>
        </w:rPr>
        <w:t xml:space="preserve"> (6)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w:t>
      </w:r>
      <w:proofErr w:type="gramStart"/>
      <w:r w:rsidR="00B2345E">
        <w:rPr>
          <w:rFonts w:ascii="Arial" w:hAnsi="Arial" w:cs="Arial"/>
          <w:sz w:val="20"/>
          <w:szCs w:val="20"/>
        </w:rPr>
        <w:t>a</w:t>
      </w:r>
      <w:proofErr w:type="gramEnd"/>
      <w:r w:rsidR="002609B4" w:rsidRPr="008F69E9">
        <w:rPr>
          <w:rFonts w:ascii="Arial" w:hAnsi="Arial" w:cs="Arial"/>
          <w:sz w:val="20"/>
          <w:szCs w:val="20"/>
        </w:rPr>
        <w:t xml:space="preserve"> pct. i) și iii) din O.U.G. nr. </w:t>
      </w:r>
      <w:proofErr w:type="gramStart"/>
      <w:r w:rsidR="002609B4" w:rsidRPr="008F69E9">
        <w:rPr>
          <w:rFonts w:ascii="Arial" w:hAnsi="Arial" w:cs="Arial"/>
          <w:sz w:val="20"/>
          <w:szCs w:val="20"/>
        </w:rPr>
        <w:t>77/2009.</w:t>
      </w:r>
      <w:proofErr w:type="gramEnd"/>
      <w:r w:rsidR="002609B4" w:rsidRPr="008F69E9">
        <w:rPr>
          <w:rFonts w:ascii="Arial" w:hAnsi="Arial" w:cs="Arial"/>
          <w:sz w:val="20"/>
          <w:szCs w:val="20"/>
        </w:rPr>
        <w:t xml:space="preserve"> Excepțiile pentru mall-uri și hoteluri reflectă configurația funcțională distinctă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acestor spații.</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10. Distanța de 500 m</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Distanța de 500 m ar fi anticoncurențială și ar bloca piața.</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(3) </w:t>
      </w:r>
      <w:proofErr w:type="gramStart"/>
      <w:r w:rsidR="002609B4" w:rsidRPr="008F69E9">
        <w:rPr>
          <w:rFonts w:ascii="Arial" w:hAnsi="Arial" w:cs="Arial"/>
          <w:sz w:val="20"/>
          <w:szCs w:val="20"/>
        </w:rPr>
        <w:t>se</w:t>
      </w:r>
      <w:proofErr w:type="gramEnd"/>
      <w:r w:rsidR="002609B4" w:rsidRPr="008F69E9">
        <w:rPr>
          <w:rFonts w:ascii="Arial" w:hAnsi="Arial" w:cs="Arial"/>
          <w:sz w:val="20"/>
          <w:szCs w:val="20"/>
        </w:rPr>
        <w:t xml:space="preserve"> aplică numai locațiilor noi și definește calculul pe traseu pietonal între intrările principale. 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(4) </w:t>
      </w:r>
      <w:proofErr w:type="gramStart"/>
      <w:r w:rsidR="002609B4" w:rsidRPr="008F69E9">
        <w:rPr>
          <w:rFonts w:ascii="Arial" w:hAnsi="Arial" w:cs="Arial"/>
          <w:sz w:val="20"/>
          <w:szCs w:val="20"/>
        </w:rPr>
        <w:t>protejează</w:t>
      </w:r>
      <w:proofErr w:type="gramEnd"/>
      <w:r w:rsidR="002609B4" w:rsidRPr="008F69E9">
        <w:rPr>
          <w:rFonts w:ascii="Arial" w:hAnsi="Arial" w:cs="Arial"/>
          <w:sz w:val="20"/>
          <w:szCs w:val="20"/>
        </w:rPr>
        <w:t xml:space="preserve"> locațiile deja autorizate și funcționale, iar alin. (6) </w:t>
      </w:r>
      <w:proofErr w:type="gramStart"/>
      <w:r w:rsidR="002609B4" w:rsidRPr="008F69E9">
        <w:rPr>
          <w:rFonts w:ascii="Arial" w:hAnsi="Arial" w:cs="Arial"/>
          <w:sz w:val="20"/>
          <w:szCs w:val="20"/>
        </w:rPr>
        <w:t>stabilește</w:t>
      </w:r>
      <w:proofErr w:type="gramEnd"/>
      <w:r w:rsidR="002609B4" w:rsidRPr="008F69E9">
        <w:rPr>
          <w:rFonts w:ascii="Arial" w:hAnsi="Arial" w:cs="Arial"/>
          <w:sz w:val="20"/>
          <w:szCs w:val="20"/>
        </w:rPr>
        <w:t xml:space="preserve"> excepții. </w:t>
      </w:r>
      <w:proofErr w:type="gramStart"/>
      <w:r w:rsidR="002609B4" w:rsidRPr="008F69E9">
        <w:rPr>
          <w:rFonts w:ascii="Arial" w:hAnsi="Arial" w:cs="Arial"/>
          <w:sz w:val="20"/>
          <w:szCs w:val="20"/>
        </w:rPr>
        <w:t>Măsura urmărește evitarea concentrării activităților de jocuri de noroc și se încadrează în competența prevăzută de art.</w:t>
      </w:r>
      <w:proofErr w:type="gramEnd"/>
      <w:r w:rsidR="002609B4" w:rsidRPr="008F69E9">
        <w:rPr>
          <w:rFonts w:ascii="Arial" w:hAnsi="Arial" w:cs="Arial"/>
          <w:sz w:val="20"/>
          <w:szCs w:val="20"/>
        </w:rPr>
        <w:t xml:space="preserve"> 18</w:t>
      </w:r>
      <w:r w:rsidR="00B2345E">
        <w:rPr>
          <w:rFonts w:ascii="Arial" w:hAnsi="Arial" w:cs="Arial"/>
          <w:sz w:val="20"/>
          <w:szCs w:val="20"/>
          <w:vertAlign w:val="superscript"/>
        </w:rPr>
        <w:t>1</w:t>
      </w:r>
      <w:r w:rsidR="002609B4" w:rsidRPr="008F69E9">
        <w:rPr>
          <w:rFonts w:ascii="Arial" w:hAnsi="Arial" w:cs="Arial"/>
          <w:sz w:val="20"/>
          <w:szCs w:val="20"/>
        </w:rPr>
        <w:t xml:space="preserve"> din O.U.G. nr. </w:t>
      </w:r>
      <w:proofErr w:type="gramStart"/>
      <w:r w:rsidR="002609B4" w:rsidRPr="008F69E9">
        <w:rPr>
          <w:rFonts w:ascii="Arial" w:hAnsi="Arial" w:cs="Arial"/>
          <w:sz w:val="20"/>
          <w:szCs w:val="20"/>
        </w:rPr>
        <w:t>77/2009.</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11. Piața Libertății și Piața Păcii</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Interdicția ar fi insuficient delimitată.</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5 alin.</w:t>
      </w:r>
      <w:proofErr w:type="gramEnd"/>
      <w:r w:rsidR="002609B4" w:rsidRPr="008F69E9">
        <w:rPr>
          <w:rFonts w:ascii="Arial" w:hAnsi="Arial" w:cs="Arial"/>
          <w:sz w:val="20"/>
          <w:szCs w:val="20"/>
        </w:rPr>
        <w:t xml:space="preserve"> (7) </w:t>
      </w:r>
      <w:proofErr w:type="gramStart"/>
      <w:r w:rsidR="002609B4" w:rsidRPr="008F69E9">
        <w:rPr>
          <w:rFonts w:ascii="Arial" w:hAnsi="Arial" w:cs="Arial"/>
          <w:sz w:val="20"/>
          <w:szCs w:val="20"/>
        </w:rPr>
        <w:t>prevede</w:t>
      </w:r>
      <w:proofErr w:type="gramEnd"/>
      <w:r w:rsidR="002609B4" w:rsidRPr="008F69E9">
        <w:rPr>
          <w:rFonts w:ascii="Arial" w:hAnsi="Arial" w:cs="Arial"/>
          <w:sz w:val="20"/>
          <w:szCs w:val="20"/>
        </w:rPr>
        <w:t xml:space="preserve"> expres interdicția pentru Piața Libertății și Piața Păcii. </w:t>
      </w:r>
      <w:proofErr w:type="gramStart"/>
      <w:r w:rsidR="002609B4" w:rsidRPr="008F69E9">
        <w:rPr>
          <w:rFonts w:ascii="Arial" w:hAnsi="Arial" w:cs="Arial"/>
          <w:sz w:val="20"/>
          <w:szCs w:val="20"/>
        </w:rPr>
        <w:t>Aceste repere sunt identificabile prin nomenclatura stradală, evidențele cadastrale și documentațiile urbanistice; în fiecare caz, aplicarea se verifică prin procedura de la art.</w:t>
      </w:r>
      <w:proofErr w:type="gramEnd"/>
      <w:r w:rsidR="002609B4" w:rsidRPr="008F69E9">
        <w:rPr>
          <w:rFonts w:ascii="Arial" w:hAnsi="Arial" w:cs="Arial"/>
          <w:sz w:val="20"/>
          <w:szCs w:val="20"/>
        </w:rPr>
        <w:t xml:space="preserve"> 11 din regulament. O eventuală necesitate de clarificare tehnică nu justifică revocarea integrală a H.C.L.</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lastRenderedPageBreak/>
        <w:t>12. Echipamentele</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Regulamentul ar institui control tehnic local paralel.</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8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lit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)-d) nu creează o certificare locală, ci solicită ca echipamentele să fie autorizate de O.N.J.N. și să dețină documentele de conformitate prevăzute de legislația specială. Autoritatea locală verifică existența condițiilor legale, fără a substitui competența tehnică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O.N.J.N.</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13. Documentația și termenele</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Documentația ar fi excesivă, iar termenul de completare de 10 zile ar fi rigid.</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10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solicită</w:t>
      </w:r>
      <w:proofErr w:type="gramEnd"/>
      <w:r w:rsidR="002609B4" w:rsidRPr="008F69E9">
        <w:rPr>
          <w:rFonts w:ascii="Arial" w:hAnsi="Arial" w:cs="Arial"/>
          <w:sz w:val="20"/>
          <w:szCs w:val="20"/>
        </w:rPr>
        <w:t xml:space="preserve"> documente relevante pentru verificarea identității, a licențierii, a dreptului asupra spațiului, a destinației comerciale și a condițiilor de funcționare. Art. </w:t>
      </w:r>
      <w:proofErr w:type="gramStart"/>
      <w:r w:rsidR="002609B4" w:rsidRPr="008F69E9">
        <w:rPr>
          <w:rFonts w:ascii="Arial" w:hAnsi="Arial" w:cs="Arial"/>
          <w:sz w:val="20"/>
          <w:szCs w:val="20"/>
        </w:rPr>
        <w:t>10 alin.</w:t>
      </w:r>
      <w:proofErr w:type="gramEnd"/>
      <w:r w:rsidR="002609B4" w:rsidRPr="008F69E9">
        <w:rPr>
          <w:rFonts w:ascii="Arial" w:hAnsi="Arial" w:cs="Arial"/>
          <w:sz w:val="20"/>
          <w:szCs w:val="20"/>
        </w:rPr>
        <w:t xml:space="preserve"> (2) </w:t>
      </w:r>
      <w:proofErr w:type="gramStart"/>
      <w:r w:rsidR="002609B4" w:rsidRPr="008F69E9">
        <w:rPr>
          <w:rFonts w:ascii="Arial" w:hAnsi="Arial" w:cs="Arial"/>
          <w:sz w:val="20"/>
          <w:szCs w:val="20"/>
        </w:rPr>
        <w:t>operează</w:t>
      </w:r>
      <w:proofErr w:type="gramEnd"/>
      <w:r w:rsidR="002609B4" w:rsidRPr="008F69E9">
        <w:rPr>
          <w:rFonts w:ascii="Arial" w:hAnsi="Arial" w:cs="Arial"/>
          <w:sz w:val="20"/>
          <w:szCs w:val="20"/>
        </w:rPr>
        <w:t xml:space="preserve"> după notificarea necesității completării, iar art. </w:t>
      </w:r>
      <w:proofErr w:type="gramStart"/>
      <w:r w:rsidR="002609B4" w:rsidRPr="008F69E9">
        <w:rPr>
          <w:rFonts w:ascii="Arial" w:hAnsi="Arial" w:cs="Arial"/>
          <w:sz w:val="20"/>
          <w:szCs w:val="20"/>
        </w:rPr>
        <w:t>11 alin.</w:t>
      </w:r>
      <w:proofErr w:type="gramEnd"/>
      <w:r w:rsidR="002609B4" w:rsidRPr="008F69E9">
        <w:rPr>
          <w:rFonts w:ascii="Arial" w:hAnsi="Arial" w:cs="Arial"/>
          <w:sz w:val="20"/>
          <w:szCs w:val="20"/>
        </w:rPr>
        <w:t xml:space="preserve"> (4) </w:t>
      </w:r>
      <w:proofErr w:type="gramStart"/>
      <w:r w:rsidR="002609B4" w:rsidRPr="008F69E9">
        <w:rPr>
          <w:rFonts w:ascii="Arial" w:hAnsi="Arial" w:cs="Arial"/>
          <w:sz w:val="20"/>
          <w:szCs w:val="20"/>
        </w:rPr>
        <w:t>acordă</w:t>
      </w:r>
      <w:proofErr w:type="gramEnd"/>
      <w:r w:rsidR="002609B4" w:rsidRPr="008F69E9">
        <w:rPr>
          <w:rFonts w:ascii="Arial" w:hAnsi="Arial" w:cs="Arial"/>
          <w:sz w:val="20"/>
          <w:szCs w:val="20"/>
        </w:rPr>
        <w:t xml:space="preserve"> un termen distinct de 10 zile pentru remedierea deficiențelor constatate la locație.</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14. Inspecția locației</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Verificarea ar fi insuficient reglementată și fără posibilitate de apărare.</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11 alin.</w:t>
      </w:r>
      <w:proofErr w:type="gramEnd"/>
      <w:r w:rsidR="002609B4" w:rsidRPr="008F69E9">
        <w:rPr>
          <w:rFonts w:ascii="Arial" w:hAnsi="Arial" w:cs="Arial"/>
          <w:sz w:val="20"/>
          <w:szCs w:val="20"/>
        </w:rPr>
        <w:t xml:space="preserve"> (2)</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3) prevede efectuarea verificării în prezența reprezentantului operatorului și consemnarea rezultatului în proces-verbal semnat de inspectori și reprezentant. Art. </w:t>
      </w:r>
      <w:proofErr w:type="gramStart"/>
      <w:r w:rsidR="002609B4" w:rsidRPr="008F69E9">
        <w:rPr>
          <w:rFonts w:ascii="Arial" w:hAnsi="Arial" w:cs="Arial"/>
          <w:sz w:val="20"/>
          <w:szCs w:val="20"/>
        </w:rPr>
        <w:t>11 alin.</w:t>
      </w:r>
      <w:proofErr w:type="gramEnd"/>
      <w:r w:rsidR="002609B4" w:rsidRPr="008F69E9">
        <w:rPr>
          <w:rFonts w:ascii="Arial" w:hAnsi="Arial" w:cs="Arial"/>
          <w:sz w:val="20"/>
          <w:szCs w:val="20"/>
        </w:rPr>
        <w:t xml:space="preserve"> (4)</w:t>
      </w:r>
      <w:proofErr w:type="gramStart"/>
      <w:r w:rsidR="002609B4" w:rsidRPr="008F69E9">
        <w:rPr>
          <w:rFonts w:ascii="Arial" w:hAnsi="Arial" w:cs="Arial"/>
          <w:sz w:val="20"/>
          <w:szCs w:val="20"/>
        </w:rPr>
        <w:t>-(</w:t>
      </w:r>
      <w:proofErr w:type="gramEnd"/>
      <w:r w:rsidR="002609B4" w:rsidRPr="008F69E9">
        <w:rPr>
          <w:rFonts w:ascii="Arial" w:hAnsi="Arial" w:cs="Arial"/>
          <w:sz w:val="20"/>
          <w:szCs w:val="20"/>
        </w:rPr>
        <w:t xml:space="preserve">5) distinge între deficiențe remediabile și insurmontabile. </w:t>
      </w:r>
      <w:proofErr w:type="gramStart"/>
      <w:r w:rsidR="002609B4" w:rsidRPr="008F69E9">
        <w:rPr>
          <w:rFonts w:ascii="Arial" w:hAnsi="Arial" w:cs="Arial"/>
          <w:sz w:val="20"/>
          <w:szCs w:val="20"/>
        </w:rPr>
        <w:t>Operatorul poate formula obiecțiuni și poate contesta actul final în condițiile Legii nr.</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554/2004.</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15. Revocarea autorizației</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Cazurile de revocare ar fi prea largi și fără procedură contradictorie.</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18 alin.</w:t>
      </w:r>
      <w:proofErr w:type="gramEnd"/>
      <w:r w:rsidR="002609B4" w:rsidRPr="008F69E9">
        <w:rPr>
          <w:rFonts w:ascii="Arial" w:hAnsi="Arial" w:cs="Arial"/>
          <w:sz w:val="20"/>
          <w:szCs w:val="20"/>
        </w:rPr>
        <w:t xml:space="preserve"> (1</w:t>
      </w:r>
      <w:proofErr w:type="gramStart"/>
      <w:r w:rsidR="002609B4" w:rsidRPr="008F69E9">
        <w:rPr>
          <w:rFonts w:ascii="Arial" w:hAnsi="Arial" w:cs="Arial"/>
          <w:sz w:val="20"/>
          <w:szCs w:val="20"/>
        </w:rPr>
        <w:t>)</w:t>
      </w:r>
      <w:r w:rsidR="00824844">
        <w:rPr>
          <w:rFonts w:ascii="Arial" w:hAnsi="Arial" w:cs="Arial"/>
          <w:sz w:val="20"/>
          <w:szCs w:val="20"/>
        </w:rPr>
        <w:t>din</w:t>
      </w:r>
      <w:proofErr w:type="gramEnd"/>
      <w:r w:rsidR="00824844">
        <w:rPr>
          <w:rFonts w:ascii="Arial" w:hAnsi="Arial" w:cs="Arial"/>
          <w:sz w:val="20"/>
          <w:szCs w:val="20"/>
        </w:rPr>
        <w:t xml:space="preserve"> </w:t>
      </w:r>
      <w:proofErr w:type="spellStart"/>
      <w:r w:rsidR="00824844">
        <w:rPr>
          <w:rFonts w:ascii="Arial" w:hAnsi="Arial" w:cs="Arial"/>
          <w:sz w:val="20"/>
          <w:szCs w:val="20"/>
        </w:rPr>
        <w:t>regulament</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enumeră</w:t>
      </w:r>
      <w:proofErr w:type="spellEnd"/>
      <w:r w:rsidR="002609B4" w:rsidRPr="008F69E9">
        <w:rPr>
          <w:rFonts w:ascii="Arial" w:hAnsi="Arial" w:cs="Arial"/>
          <w:sz w:val="20"/>
          <w:szCs w:val="20"/>
        </w:rPr>
        <w:t xml:space="preserve"> </w:t>
      </w:r>
      <w:proofErr w:type="spellStart"/>
      <w:r w:rsidR="002609B4" w:rsidRPr="008F69E9">
        <w:rPr>
          <w:rFonts w:ascii="Arial" w:hAnsi="Arial" w:cs="Arial"/>
          <w:sz w:val="20"/>
          <w:szCs w:val="20"/>
        </w:rPr>
        <w:t>cazurile</w:t>
      </w:r>
      <w:proofErr w:type="spellEnd"/>
      <w:r w:rsidR="002609B4" w:rsidRPr="008F69E9">
        <w:rPr>
          <w:rFonts w:ascii="Arial" w:hAnsi="Arial" w:cs="Arial"/>
          <w:sz w:val="20"/>
          <w:szCs w:val="20"/>
        </w:rPr>
        <w:t xml:space="preserve"> de revocare, iar alin. (2) </w:t>
      </w:r>
      <w:proofErr w:type="gramStart"/>
      <w:r w:rsidR="002609B4" w:rsidRPr="008F69E9">
        <w:rPr>
          <w:rFonts w:ascii="Arial" w:hAnsi="Arial" w:cs="Arial"/>
          <w:sz w:val="20"/>
          <w:szCs w:val="20"/>
        </w:rPr>
        <w:t>impune</w:t>
      </w:r>
      <w:proofErr w:type="gramEnd"/>
      <w:r w:rsidR="002609B4" w:rsidRPr="008F69E9">
        <w:rPr>
          <w:rFonts w:ascii="Arial" w:hAnsi="Arial" w:cs="Arial"/>
          <w:sz w:val="20"/>
          <w:szCs w:val="20"/>
        </w:rPr>
        <w:t xml:space="preserve"> comunicarea în scris a motivelor. </w:t>
      </w:r>
      <w:proofErr w:type="gramStart"/>
      <w:r w:rsidR="002609B4" w:rsidRPr="008F69E9">
        <w:rPr>
          <w:rFonts w:ascii="Arial" w:hAnsi="Arial" w:cs="Arial"/>
          <w:sz w:val="20"/>
          <w:szCs w:val="20"/>
        </w:rPr>
        <w:t>Pierderea licenței sau autorizației O.N.J.N., falimentul ori dizolvarea sunt situații obiective incompatibile cu păstrarea autorizației locale.</w:t>
      </w:r>
      <w:proofErr w:type="gramEnd"/>
      <w:r w:rsidR="002609B4" w:rsidRPr="008F69E9">
        <w:rPr>
          <w:rFonts w:ascii="Arial" w:hAnsi="Arial" w:cs="Arial"/>
          <w:sz w:val="20"/>
          <w:szCs w:val="20"/>
        </w:rPr>
        <w:t xml:space="preserve"> Actul de revocare </w:t>
      </w:r>
      <w:proofErr w:type="gramStart"/>
      <w:r w:rsidR="002609B4" w:rsidRPr="008F69E9">
        <w:rPr>
          <w:rFonts w:ascii="Arial" w:hAnsi="Arial" w:cs="Arial"/>
          <w:sz w:val="20"/>
          <w:szCs w:val="20"/>
        </w:rPr>
        <w:t>este</w:t>
      </w:r>
      <w:proofErr w:type="gramEnd"/>
      <w:r w:rsidR="002609B4" w:rsidRPr="008F69E9">
        <w:rPr>
          <w:rFonts w:ascii="Arial" w:hAnsi="Arial" w:cs="Arial"/>
          <w:sz w:val="20"/>
          <w:szCs w:val="20"/>
        </w:rPr>
        <w:t xml:space="preserve"> supus controlului de legalitate.</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16. Dispozițiile tranzitorii</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Regulamentul nu ar asigura continuitatea activității.</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F3314A" w:rsidRPr="00F3314A">
        <w:rPr>
          <w:rFonts w:ascii="Arial" w:hAnsi="Arial" w:cs="Arial"/>
          <w:sz w:val="20"/>
          <w:szCs w:val="20"/>
        </w:rPr>
        <w:t xml:space="preserve">Art. XXXIX din O.U.G. nr.7/2026 </w:t>
      </w:r>
      <w:proofErr w:type="spellStart"/>
      <w:r w:rsidR="00F3314A" w:rsidRPr="00F3314A">
        <w:rPr>
          <w:rFonts w:ascii="Arial" w:hAnsi="Arial" w:cs="Arial"/>
          <w:sz w:val="20"/>
          <w:szCs w:val="20"/>
        </w:rPr>
        <w:t>prevede</w:t>
      </w:r>
      <w:proofErr w:type="spellEnd"/>
      <w:r w:rsidR="00F3314A" w:rsidRPr="00F3314A">
        <w:rPr>
          <w:rFonts w:ascii="Arial" w:hAnsi="Arial" w:cs="Arial"/>
          <w:sz w:val="20"/>
          <w:szCs w:val="20"/>
        </w:rPr>
        <w:t xml:space="preserve"> </w:t>
      </w:r>
      <w:proofErr w:type="spellStart"/>
      <w:r w:rsidR="00F3314A" w:rsidRPr="00F3314A">
        <w:rPr>
          <w:rFonts w:ascii="Arial" w:hAnsi="Arial" w:cs="Arial"/>
          <w:sz w:val="20"/>
          <w:szCs w:val="20"/>
        </w:rPr>
        <w:t>faptul</w:t>
      </w:r>
      <w:proofErr w:type="spellEnd"/>
      <w:r w:rsidR="00F3314A" w:rsidRPr="00F3314A">
        <w:rPr>
          <w:rFonts w:ascii="Arial" w:hAnsi="Arial" w:cs="Arial"/>
          <w:sz w:val="20"/>
          <w:szCs w:val="20"/>
        </w:rPr>
        <w:t xml:space="preserve"> </w:t>
      </w:r>
      <w:proofErr w:type="spellStart"/>
      <w:r w:rsidR="00F3314A" w:rsidRPr="00F3314A">
        <w:rPr>
          <w:rFonts w:ascii="Arial" w:hAnsi="Arial" w:cs="Arial"/>
          <w:sz w:val="20"/>
          <w:szCs w:val="20"/>
        </w:rPr>
        <w:t>că</w:t>
      </w:r>
      <w:proofErr w:type="spellEnd"/>
      <w:r w:rsidR="00F3314A">
        <w:rPr>
          <w:rFonts w:ascii="Arial" w:hAnsi="Arial" w:cs="Arial"/>
          <w:b/>
          <w:sz w:val="20"/>
          <w:szCs w:val="20"/>
        </w:rPr>
        <w:t xml:space="preserve"> </w:t>
      </w:r>
      <w:proofErr w:type="spellStart"/>
      <w:r w:rsidR="00F3314A" w:rsidRPr="00F3314A">
        <w:rPr>
          <w:rStyle w:val="tal1"/>
          <w:rFonts w:ascii="Arial" w:hAnsi="Arial" w:cs="Arial"/>
          <w:sz w:val="20"/>
          <w:szCs w:val="20"/>
        </w:rPr>
        <w:t>pentru</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operatorii</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economici</w:t>
      </w:r>
      <w:proofErr w:type="spellEnd"/>
      <w:r w:rsidR="00F3314A" w:rsidRPr="00F3314A">
        <w:rPr>
          <w:rStyle w:val="tal1"/>
          <w:rFonts w:ascii="Arial" w:hAnsi="Arial" w:cs="Arial"/>
          <w:sz w:val="20"/>
          <w:szCs w:val="20"/>
        </w:rPr>
        <w:t xml:space="preserve"> care la data </w:t>
      </w:r>
      <w:proofErr w:type="spellStart"/>
      <w:r w:rsidR="00F3314A" w:rsidRPr="00F3314A">
        <w:rPr>
          <w:rStyle w:val="tal1"/>
          <w:rFonts w:ascii="Arial" w:hAnsi="Arial" w:cs="Arial"/>
          <w:sz w:val="20"/>
          <w:szCs w:val="20"/>
        </w:rPr>
        <w:t>intrării</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în</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vigoare</w:t>
      </w:r>
      <w:proofErr w:type="spellEnd"/>
      <w:r w:rsidR="00F3314A" w:rsidRPr="00F3314A">
        <w:rPr>
          <w:rStyle w:val="tal1"/>
          <w:rFonts w:ascii="Arial" w:hAnsi="Arial" w:cs="Arial"/>
          <w:sz w:val="20"/>
          <w:szCs w:val="20"/>
        </w:rPr>
        <w:t xml:space="preserve"> </w:t>
      </w:r>
      <w:proofErr w:type="gramStart"/>
      <w:r w:rsidR="00F3314A" w:rsidRPr="00F3314A">
        <w:rPr>
          <w:rStyle w:val="tal1"/>
          <w:rFonts w:ascii="Arial" w:hAnsi="Arial" w:cs="Arial"/>
          <w:sz w:val="20"/>
          <w:szCs w:val="20"/>
        </w:rPr>
        <w:t>a</w:t>
      </w:r>
      <w:proofErr w:type="gram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i</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ordonanţe</w:t>
      </w:r>
      <w:proofErr w:type="spellEnd"/>
      <w:r w:rsidR="00F3314A" w:rsidRPr="00F3314A">
        <w:rPr>
          <w:rStyle w:val="tal1"/>
          <w:rFonts w:ascii="Arial" w:hAnsi="Arial" w:cs="Arial"/>
          <w:sz w:val="20"/>
          <w:szCs w:val="20"/>
        </w:rPr>
        <w:t xml:space="preserve"> de </w:t>
      </w:r>
      <w:proofErr w:type="spellStart"/>
      <w:r w:rsidR="00F3314A" w:rsidRPr="00F3314A">
        <w:rPr>
          <w:rStyle w:val="tal1"/>
          <w:rFonts w:ascii="Arial" w:hAnsi="Arial" w:cs="Arial"/>
          <w:sz w:val="20"/>
          <w:szCs w:val="20"/>
        </w:rPr>
        <w:t>urgenţă</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deţin</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autorizaţie</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valabilă</w:t>
      </w:r>
      <w:proofErr w:type="spellEnd"/>
      <w:r w:rsidR="00F3314A" w:rsidRPr="00F3314A">
        <w:rPr>
          <w:rStyle w:val="tal1"/>
          <w:rFonts w:ascii="Arial" w:hAnsi="Arial" w:cs="Arial"/>
          <w:sz w:val="20"/>
          <w:szCs w:val="20"/>
        </w:rPr>
        <w:t xml:space="preserve"> de </w:t>
      </w:r>
      <w:proofErr w:type="spellStart"/>
      <w:r w:rsidR="00F3314A" w:rsidRPr="00F3314A">
        <w:rPr>
          <w:rStyle w:val="tal1"/>
          <w:rFonts w:ascii="Arial" w:hAnsi="Arial" w:cs="Arial"/>
          <w:sz w:val="20"/>
          <w:szCs w:val="20"/>
        </w:rPr>
        <w:t>exploatare</w:t>
      </w:r>
      <w:proofErr w:type="spellEnd"/>
      <w:r w:rsidR="00F3314A" w:rsidRPr="00F3314A">
        <w:rPr>
          <w:rStyle w:val="tal1"/>
          <w:rFonts w:ascii="Arial" w:hAnsi="Arial" w:cs="Arial"/>
          <w:sz w:val="20"/>
          <w:szCs w:val="20"/>
        </w:rPr>
        <w:t xml:space="preserve"> a </w:t>
      </w:r>
      <w:proofErr w:type="spellStart"/>
      <w:r w:rsidR="00F3314A" w:rsidRPr="00F3314A">
        <w:rPr>
          <w:rStyle w:val="tal1"/>
          <w:rFonts w:ascii="Arial" w:hAnsi="Arial" w:cs="Arial"/>
          <w:sz w:val="20"/>
          <w:szCs w:val="20"/>
        </w:rPr>
        <w:t>jocurilor</w:t>
      </w:r>
      <w:proofErr w:type="spellEnd"/>
      <w:r w:rsidR="00F3314A" w:rsidRPr="00F3314A">
        <w:rPr>
          <w:rStyle w:val="tal1"/>
          <w:rFonts w:ascii="Arial" w:hAnsi="Arial" w:cs="Arial"/>
          <w:sz w:val="20"/>
          <w:szCs w:val="20"/>
        </w:rPr>
        <w:t xml:space="preserve"> de </w:t>
      </w:r>
      <w:proofErr w:type="spellStart"/>
      <w:r w:rsidR="00F3314A" w:rsidRPr="00F3314A">
        <w:rPr>
          <w:rStyle w:val="tal1"/>
          <w:rFonts w:ascii="Arial" w:hAnsi="Arial" w:cs="Arial"/>
          <w:sz w:val="20"/>
          <w:szCs w:val="20"/>
        </w:rPr>
        <w:t>noroc</w:t>
      </w:r>
      <w:proofErr w:type="spellEnd"/>
      <w:r w:rsidR="00F3314A" w:rsidRPr="00F3314A">
        <w:rPr>
          <w:rStyle w:val="tal1"/>
          <w:rFonts w:ascii="Arial" w:hAnsi="Arial" w:cs="Arial"/>
          <w:sz w:val="20"/>
          <w:szCs w:val="20"/>
        </w:rPr>
        <w:t xml:space="preserve"> de la </w:t>
      </w:r>
      <w:r w:rsidR="00AB6F68">
        <w:rPr>
          <w:rStyle w:val="tal1"/>
          <w:rFonts w:ascii="Arial" w:hAnsi="Arial" w:cs="Arial"/>
          <w:sz w:val="20"/>
          <w:szCs w:val="20"/>
        </w:rPr>
        <w:t>O.N.J.N.</w:t>
      </w:r>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prevederile</w:t>
      </w:r>
      <w:proofErr w:type="spellEnd"/>
      <w:r w:rsidR="00F3314A" w:rsidRPr="00F3314A">
        <w:rPr>
          <w:rStyle w:val="tal1"/>
          <w:rFonts w:ascii="Arial" w:hAnsi="Arial" w:cs="Arial"/>
          <w:sz w:val="20"/>
          <w:szCs w:val="20"/>
        </w:rPr>
        <w:t xml:space="preserve"> art. </w:t>
      </w:r>
      <w:proofErr w:type="gramStart"/>
      <w:r w:rsidR="00F3314A" w:rsidRPr="00F3314A">
        <w:rPr>
          <w:rStyle w:val="tal1"/>
          <w:rFonts w:ascii="Arial" w:hAnsi="Arial" w:cs="Arial"/>
          <w:sz w:val="20"/>
          <w:szCs w:val="20"/>
        </w:rPr>
        <w:t xml:space="preserve">III se </w:t>
      </w:r>
      <w:proofErr w:type="spellStart"/>
      <w:r w:rsidR="00F3314A" w:rsidRPr="00F3314A">
        <w:rPr>
          <w:rStyle w:val="tal1"/>
          <w:rFonts w:ascii="Arial" w:hAnsi="Arial" w:cs="Arial"/>
          <w:sz w:val="20"/>
          <w:szCs w:val="20"/>
        </w:rPr>
        <w:t>aplică</w:t>
      </w:r>
      <w:proofErr w:type="spellEnd"/>
      <w:r w:rsidR="00F3314A" w:rsidRPr="00F3314A">
        <w:rPr>
          <w:rStyle w:val="tal1"/>
          <w:rFonts w:ascii="Arial" w:hAnsi="Arial" w:cs="Arial"/>
          <w:sz w:val="20"/>
          <w:szCs w:val="20"/>
        </w:rPr>
        <w:t xml:space="preserve"> la </w:t>
      </w:r>
      <w:proofErr w:type="spellStart"/>
      <w:r w:rsidR="00F3314A" w:rsidRPr="00F3314A">
        <w:rPr>
          <w:rStyle w:val="tal1"/>
          <w:rFonts w:ascii="Arial" w:hAnsi="Arial" w:cs="Arial"/>
          <w:sz w:val="20"/>
          <w:szCs w:val="20"/>
        </w:rPr>
        <w:t>expirarea</w:t>
      </w:r>
      <w:proofErr w:type="spellEnd"/>
      <w:r w:rsidR="00F3314A" w:rsidRPr="00F3314A">
        <w:rPr>
          <w:rStyle w:val="tal1"/>
          <w:rFonts w:ascii="Arial" w:hAnsi="Arial" w:cs="Arial"/>
          <w:sz w:val="20"/>
          <w:szCs w:val="20"/>
        </w:rPr>
        <w:t xml:space="preserve"> </w:t>
      </w:r>
      <w:proofErr w:type="spellStart"/>
      <w:r w:rsidR="00F3314A" w:rsidRPr="00F3314A">
        <w:rPr>
          <w:rStyle w:val="tal1"/>
          <w:rFonts w:ascii="Arial" w:hAnsi="Arial" w:cs="Arial"/>
          <w:sz w:val="20"/>
          <w:szCs w:val="20"/>
        </w:rPr>
        <w:t>perioadei</w:t>
      </w:r>
      <w:proofErr w:type="spellEnd"/>
      <w:r w:rsidR="00F3314A" w:rsidRPr="00F3314A">
        <w:rPr>
          <w:rStyle w:val="tal1"/>
          <w:rFonts w:ascii="Arial" w:hAnsi="Arial" w:cs="Arial"/>
          <w:sz w:val="20"/>
          <w:szCs w:val="20"/>
        </w:rPr>
        <w:t xml:space="preserve"> de </w:t>
      </w:r>
      <w:proofErr w:type="spellStart"/>
      <w:r w:rsidR="00F3314A" w:rsidRPr="00F3314A">
        <w:rPr>
          <w:rStyle w:val="tal1"/>
          <w:rFonts w:ascii="Arial" w:hAnsi="Arial" w:cs="Arial"/>
          <w:sz w:val="20"/>
          <w:szCs w:val="20"/>
        </w:rPr>
        <w:t>autorizare</w:t>
      </w:r>
      <w:proofErr w:type="spellEnd"/>
      <w:r w:rsidR="00F3314A">
        <w:rPr>
          <w:rStyle w:val="tal1"/>
          <w:rFonts w:ascii="Verdana" w:hAnsi="Verdana"/>
        </w:rPr>
        <w:t xml:space="preserve">, </w:t>
      </w:r>
      <w:r w:rsidR="00F3314A" w:rsidRPr="00AB6F68">
        <w:rPr>
          <w:rStyle w:val="tal1"/>
          <w:rFonts w:ascii="Arial" w:hAnsi="Arial" w:cs="Arial"/>
          <w:sz w:val="20"/>
          <w:szCs w:val="20"/>
        </w:rPr>
        <w:t xml:space="preserve">aspect </w:t>
      </w:r>
      <w:proofErr w:type="spellStart"/>
      <w:r w:rsidR="00F3314A" w:rsidRPr="00AB6F68">
        <w:rPr>
          <w:rStyle w:val="tal1"/>
          <w:rFonts w:ascii="Arial" w:hAnsi="Arial" w:cs="Arial"/>
          <w:sz w:val="20"/>
          <w:szCs w:val="20"/>
        </w:rPr>
        <w:t>preluat</w:t>
      </w:r>
      <w:proofErr w:type="spellEnd"/>
      <w:r w:rsidR="00F3314A" w:rsidRPr="00AB6F68">
        <w:rPr>
          <w:rStyle w:val="tal1"/>
          <w:rFonts w:ascii="Arial" w:hAnsi="Arial" w:cs="Arial"/>
          <w:sz w:val="20"/>
          <w:szCs w:val="20"/>
        </w:rPr>
        <w:t xml:space="preserve"> </w:t>
      </w:r>
      <w:proofErr w:type="spellStart"/>
      <w:r w:rsidR="00F3314A" w:rsidRPr="00AB6F68">
        <w:rPr>
          <w:rStyle w:val="tal1"/>
          <w:rFonts w:ascii="Arial" w:hAnsi="Arial" w:cs="Arial"/>
          <w:sz w:val="20"/>
          <w:szCs w:val="20"/>
        </w:rPr>
        <w:t>în</w:t>
      </w:r>
      <w:proofErr w:type="spellEnd"/>
      <w:r w:rsidR="00F3314A" w:rsidRPr="00AB6F68">
        <w:rPr>
          <w:rStyle w:val="tal1"/>
          <w:rFonts w:ascii="Arial" w:hAnsi="Arial" w:cs="Arial"/>
          <w:sz w:val="20"/>
          <w:szCs w:val="20"/>
        </w:rPr>
        <w:t xml:space="preserve"> </w:t>
      </w:r>
      <w:proofErr w:type="spellStart"/>
      <w:r w:rsidR="00F3314A" w:rsidRPr="00AB6F68">
        <w:rPr>
          <w:rStyle w:val="tal1"/>
          <w:rFonts w:ascii="Arial" w:hAnsi="Arial" w:cs="Arial"/>
          <w:sz w:val="20"/>
          <w:szCs w:val="20"/>
        </w:rPr>
        <w:t>regulament</w:t>
      </w:r>
      <w:proofErr w:type="spellEnd"/>
      <w:r w:rsidR="00F3314A">
        <w:rPr>
          <w:rStyle w:val="tal1"/>
          <w:rFonts w:ascii="Verdana" w:hAnsi="Verdana"/>
        </w:rPr>
        <w:t>.</w:t>
      </w:r>
      <w:proofErr w:type="gramEnd"/>
      <w:r w:rsidR="00F3314A">
        <w:rPr>
          <w:rStyle w:val="tal1"/>
          <w:rFonts w:ascii="Verdana" w:hAnsi="Verdana"/>
        </w:rPr>
        <w:t xml:space="preserve"> </w:t>
      </w:r>
      <w:r w:rsidR="002609B4" w:rsidRPr="008F69E9">
        <w:rPr>
          <w:rFonts w:ascii="Arial" w:hAnsi="Arial" w:cs="Arial"/>
          <w:sz w:val="20"/>
          <w:szCs w:val="20"/>
        </w:rPr>
        <w:t xml:space="preserve">Art. </w:t>
      </w:r>
      <w:proofErr w:type="gramStart"/>
      <w:r w:rsidR="002609B4" w:rsidRPr="008F69E9">
        <w:rPr>
          <w:rFonts w:ascii="Arial" w:hAnsi="Arial" w:cs="Arial"/>
          <w:sz w:val="20"/>
          <w:szCs w:val="20"/>
        </w:rPr>
        <w:t>20 alin.</w:t>
      </w:r>
      <w:proofErr w:type="gramEnd"/>
      <w:r w:rsidR="002609B4" w:rsidRPr="008F69E9">
        <w:rPr>
          <w:rFonts w:ascii="Arial" w:hAnsi="Arial" w:cs="Arial"/>
          <w:sz w:val="20"/>
          <w:szCs w:val="20"/>
        </w:rPr>
        <w:t xml:space="preserve"> (1) </w:t>
      </w:r>
      <w:proofErr w:type="gramStart"/>
      <w:r w:rsidR="002609B4" w:rsidRPr="008F69E9">
        <w:rPr>
          <w:rFonts w:ascii="Arial" w:hAnsi="Arial" w:cs="Arial"/>
          <w:sz w:val="20"/>
          <w:szCs w:val="20"/>
        </w:rPr>
        <w:t>permite</w:t>
      </w:r>
      <w:proofErr w:type="gramEnd"/>
      <w:r w:rsidR="002609B4" w:rsidRPr="008F69E9">
        <w:rPr>
          <w:rFonts w:ascii="Arial" w:hAnsi="Arial" w:cs="Arial"/>
          <w:sz w:val="20"/>
          <w:szCs w:val="20"/>
        </w:rPr>
        <w:t xml:space="preserve"> continuarea activității până la expirarea autorizației O.N.J.N. aflate în curs. Art. </w:t>
      </w:r>
      <w:proofErr w:type="gramStart"/>
      <w:r w:rsidR="002609B4" w:rsidRPr="008F69E9">
        <w:rPr>
          <w:rFonts w:ascii="Arial" w:hAnsi="Arial" w:cs="Arial"/>
          <w:sz w:val="20"/>
          <w:szCs w:val="20"/>
        </w:rPr>
        <w:t>20 alin.</w:t>
      </w:r>
      <w:proofErr w:type="gramEnd"/>
      <w:r w:rsidR="002609B4" w:rsidRPr="008F69E9">
        <w:rPr>
          <w:rFonts w:ascii="Arial" w:hAnsi="Arial" w:cs="Arial"/>
          <w:sz w:val="20"/>
          <w:szCs w:val="20"/>
        </w:rPr>
        <w:t xml:space="preserve"> (3) impune depunerea cererii complete cu cel puțin 30 de zile înainte de expirare, termen corelat cu regulile naționale de prelungire prevăzute în normele metodologice ale O.U.G. nr. </w:t>
      </w:r>
      <w:proofErr w:type="gramStart"/>
      <w:r w:rsidR="002609B4" w:rsidRPr="008F69E9">
        <w:rPr>
          <w:rFonts w:ascii="Arial" w:hAnsi="Arial" w:cs="Arial"/>
          <w:sz w:val="20"/>
          <w:szCs w:val="20"/>
        </w:rPr>
        <w:t>77/2009.</w:t>
      </w:r>
      <w:proofErr w:type="gramEnd"/>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17. Analiza de impact</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Ar lipsi analiza economică, urbanistică și concurențială.</w:t>
      </w:r>
    </w:p>
    <w:p w:rsidR="00992449" w:rsidRPr="008F69E9" w:rsidRDefault="000F2B71" w:rsidP="008F69E9">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r w:rsidR="002609B4" w:rsidRPr="008F69E9">
        <w:rPr>
          <w:rFonts w:ascii="Arial" w:hAnsi="Arial" w:cs="Arial"/>
          <w:sz w:val="20"/>
          <w:szCs w:val="20"/>
        </w:rPr>
        <w:t>Art. 18</w:t>
      </w:r>
      <w:r>
        <w:rPr>
          <w:rFonts w:ascii="Arial" w:hAnsi="Arial" w:cs="Arial"/>
          <w:sz w:val="20"/>
          <w:szCs w:val="20"/>
          <w:vertAlign w:val="superscript"/>
        </w:rPr>
        <w:t>1</w:t>
      </w:r>
      <w:r w:rsidR="002609B4" w:rsidRPr="008F69E9">
        <w:rPr>
          <w:rFonts w:ascii="Arial" w:hAnsi="Arial" w:cs="Arial"/>
          <w:sz w:val="20"/>
          <w:szCs w:val="20"/>
        </w:rPr>
        <w:t xml:space="preserve"> din O.U.G. nr. 77/2009 conferă autorității locale competența de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adopta regulamentul, de a stabili zonele și taxa, fără a condiționa validitatea hotărârii de întocmirea unui studiu de impact cu indicatorii solicitați de petentă. </w:t>
      </w:r>
      <w:proofErr w:type="gramStart"/>
      <w:r w:rsidR="002609B4" w:rsidRPr="008F69E9">
        <w:rPr>
          <w:rFonts w:ascii="Arial" w:hAnsi="Arial" w:cs="Arial"/>
          <w:sz w:val="20"/>
          <w:szCs w:val="20"/>
        </w:rPr>
        <w:t>H.C.L. nr.</w:t>
      </w:r>
      <w:proofErr w:type="gramEnd"/>
      <w:r w:rsidR="002609B4" w:rsidRPr="008F69E9">
        <w:rPr>
          <w:rFonts w:ascii="Arial" w:hAnsi="Arial" w:cs="Arial"/>
          <w:sz w:val="20"/>
          <w:szCs w:val="20"/>
        </w:rPr>
        <w:t xml:space="preserve"> 200/2026 reține necesitatea protejării intereselor locale, </w:t>
      </w:r>
      <w:proofErr w:type="gramStart"/>
      <w:r w:rsidR="002609B4" w:rsidRPr="008F69E9">
        <w:rPr>
          <w:rFonts w:ascii="Arial" w:hAnsi="Arial" w:cs="Arial"/>
          <w:sz w:val="20"/>
          <w:szCs w:val="20"/>
        </w:rPr>
        <w:t>a</w:t>
      </w:r>
      <w:proofErr w:type="gramEnd"/>
      <w:r w:rsidR="002609B4" w:rsidRPr="008F69E9">
        <w:rPr>
          <w:rFonts w:ascii="Arial" w:hAnsi="Arial" w:cs="Arial"/>
          <w:sz w:val="20"/>
          <w:szCs w:val="20"/>
        </w:rPr>
        <w:t xml:space="preserve"> ordinii și siguranței publice, a minorilor și persoanelor vulnerabile.</w:t>
      </w:r>
    </w:p>
    <w:p w:rsidR="00992449" w:rsidRPr="008F69E9" w:rsidRDefault="002609B4" w:rsidP="008F69E9">
      <w:pPr>
        <w:spacing w:before="200" w:after="100"/>
        <w:jc w:val="both"/>
        <w:rPr>
          <w:rFonts w:ascii="Arial" w:hAnsi="Arial" w:cs="Arial"/>
          <w:sz w:val="20"/>
          <w:szCs w:val="20"/>
        </w:rPr>
      </w:pPr>
      <w:r w:rsidRPr="008F69E9">
        <w:rPr>
          <w:rFonts w:ascii="Arial" w:hAnsi="Arial" w:cs="Arial"/>
          <w:b/>
          <w:sz w:val="20"/>
          <w:szCs w:val="20"/>
        </w:rPr>
        <w:t>18. Transparența decizională</w:t>
      </w:r>
    </w:p>
    <w:p w:rsidR="00992449" w:rsidRPr="008F69E9" w:rsidRDefault="002609B4" w:rsidP="008F69E9">
      <w:pPr>
        <w:spacing w:after="100" w:line="259" w:lineRule="auto"/>
        <w:jc w:val="both"/>
        <w:rPr>
          <w:rFonts w:ascii="Arial" w:hAnsi="Arial" w:cs="Arial"/>
          <w:sz w:val="20"/>
          <w:szCs w:val="20"/>
        </w:rPr>
      </w:pPr>
      <w:r w:rsidRPr="008F69E9">
        <w:rPr>
          <w:rFonts w:ascii="Arial" w:hAnsi="Arial" w:cs="Arial"/>
          <w:b/>
          <w:sz w:val="20"/>
          <w:szCs w:val="20"/>
        </w:rPr>
        <w:t xml:space="preserve">Susținerea petentei: </w:t>
      </w:r>
      <w:r w:rsidRPr="008F69E9">
        <w:rPr>
          <w:rFonts w:ascii="Arial" w:hAnsi="Arial" w:cs="Arial"/>
          <w:sz w:val="20"/>
          <w:szCs w:val="20"/>
        </w:rPr>
        <w:t xml:space="preserve">Nu ar fi fost respectată Legea nr. </w:t>
      </w:r>
      <w:proofErr w:type="gramStart"/>
      <w:r w:rsidRPr="008F69E9">
        <w:rPr>
          <w:rFonts w:ascii="Arial" w:hAnsi="Arial" w:cs="Arial"/>
          <w:sz w:val="20"/>
          <w:szCs w:val="20"/>
        </w:rPr>
        <w:t>52/2003.</w:t>
      </w:r>
      <w:proofErr w:type="gramEnd"/>
    </w:p>
    <w:p w:rsidR="00992449" w:rsidRPr="008F69E9" w:rsidRDefault="002770A5" w:rsidP="007D4C2F">
      <w:pPr>
        <w:spacing w:after="100" w:line="259" w:lineRule="auto"/>
        <w:jc w:val="both"/>
        <w:rPr>
          <w:rFonts w:ascii="Arial" w:hAnsi="Arial" w:cs="Arial"/>
          <w:sz w:val="20"/>
          <w:szCs w:val="20"/>
        </w:rPr>
      </w:pPr>
      <w:proofErr w:type="spellStart"/>
      <w:r>
        <w:rPr>
          <w:rFonts w:ascii="Arial" w:hAnsi="Arial" w:cs="Arial"/>
          <w:b/>
          <w:sz w:val="20"/>
          <w:szCs w:val="20"/>
        </w:rPr>
        <w:t>Motiv</w:t>
      </w:r>
      <w:proofErr w:type="spellEnd"/>
      <w:r>
        <w:rPr>
          <w:rFonts w:ascii="Arial" w:hAnsi="Arial" w:cs="Arial"/>
          <w:b/>
          <w:sz w:val="20"/>
          <w:szCs w:val="20"/>
        </w:rPr>
        <w:t xml:space="preserve"> </w:t>
      </w:r>
      <w:proofErr w:type="spellStart"/>
      <w:r>
        <w:rPr>
          <w:rFonts w:ascii="Arial" w:hAnsi="Arial" w:cs="Arial"/>
          <w:b/>
          <w:sz w:val="20"/>
          <w:szCs w:val="20"/>
        </w:rPr>
        <w:t>respingere</w:t>
      </w:r>
      <w:proofErr w:type="spellEnd"/>
      <w:r w:rsidR="002609B4" w:rsidRPr="008F69E9">
        <w:rPr>
          <w:rFonts w:ascii="Arial" w:hAnsi="Arial" w:cs="Arial"/>
          <w:b/>
          <w:sz w:val="20"/>
          <w:szCs w:val="20"/>
        </w:rPr>
        <w:t xml:space="preserve">: </w:t>
      </w:r>
      <w:proofErr w:type="spellStart"/>
      <w:r w:rsidR="002609B4" w:rsidRPr="008F69E9">
        <w:rPr>
          <w:rFonts w:ascii="Arial" w:hAnsi="Arial" w:cs="Arial"/>
          <w:sz w:val="20"/>
          <w:szCs w:val="20"/>
        </w:rPr>
        <w:t>Preambulul</w:t>
      </w:r>
      <w:proofErr w:type="spellEnd"/>
      <w:r w:rsidR="002609B4" w:rsidRPr="008F69E9">
        <w:rPr>
          <w:rFonts w:ascii="Arial" w:hAnsi="Arial" w:cs="Arial"/>
          <w:sz w:val="20"/>
          <w:szCs w:val="20"/>
        </w:rPr>
        <w:t xml:space="preserve"> H.C.L. nr. </w:t>
      </w:r>
      <w:proofErr w:type="gramStart"/>
      <w:r w:rsidR="002609B4" w:rsidRPr="008F69E9">
        <w:rPr>
          <w:rFonts w:ascii="Arial" w:hAnsi="Arial" w:cs="Arial"/>
          <w:sz w:val="20"/>
          <w:szCs w:val="20"/>
        </w:rPr>
        <w:t>200/2026 menționează proiectul inițiat de primar, referatul de aprobare, raportul de specialitate nr.</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14420/03.2026, raportul nr.</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18709/04.2026 privind transparența decizională, avizele comisiilor, amendamentele și avizul secretarului general.</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Hotărârea invocă art.</w:t>
      </w:r>
      <w:proofErr w:type="gramEnd"/>
      <w:r w:rsidR="002609B4" w:rsidRPr="008F69E9">
        <w:rPr>
          <w:rFonts w:ascii="Arial" w:hAnsi="Arial" w:cs="Arial"/>
          <w:sz w:val="20"/>
          <w:szCs w:val="20"/>
        </w:rPr>
        <w:t xml:space="preserve"> </w:t>
      </w:r>
      <w:proofErr w:type="gramStart"/>
      <w:r w:rsidR="002609B4" w:rsidRPr="008F69E9">
        <w:rPr>
          <w:rFonts w:ascii="Arial" w:hAnsi="Arial" w:cs="Arial"/>
          <w:sz w:val="20"/>
          <w:szCs w:val="20"/>
        </w:rPr>
        <w:t>7 alin.</w:t>
      </w:r>
      <w:proofErr w:type="gramEnd"/>
      <w:r w:rsidR="002609B4" w:rsidRPr="008F69E9">
        <w:rPr>
          <w:rFonts w:ascii="Arial" w:hAnsi="Arial" w:cs="Arial"/>
          <w:sz w:val="20"/>
          <w:szCs w:val="20"/>
        </w:rPr>
        <w:t xml:space="preserve"> (13) </w:t>
      </w:r>
      <w:proofErr w:type="gramStart"/>
      <w:r w:rsidR="002609B4" w:rsidRPr="008F69E9">
        <w:rPr>
          <w:rFonts w:ascii="Arial" w:hAnsi="Arial" w:cs="Arial"/>
          <w:sz w:val="20"/>
          <w:szCs w:val="20"/>
        </w:rPr>
        <w:t>din</w:t>
      </w:r>
      <w:proofErr w:type="gramEnd"/>
      <w:r w:rsidR="002609B4" w:rsidRPr="008F69E9">
        <w:rPr>
          <w:rFonts w:ascii="Arial" w:hAnsi="Arial" w:cs="Arial"/>
          <w:sz w:val="20"/>
          <w:szCs w:val="20"/>
        </w:rPr>
        <w:t xml:space="preserve"> Legea nr. </w:t>
      </w:r>
      <w:proofErr w:type="gramStart"/>
      <w:r w:rsidR="002609B4" w:rsidRPr="008F69E9">
        <w:rPr>
          <w:rFonts w:ascii="Arial" w:hAnsi="Arial" w:cs="Arial"/>
          <w:sz w:val="20"/>
          <w:szCs w:val="20"/>
        </w:rPr>
        <w:t>52/2003 și a fost adoptată în ședință ordinară la 24.04.2026.</w:t>
      </w:r>
      <w:proofErr w:type="gramEnd"/>
      <w:r w:rsidR="002609B4" w:rsidRPr="008F69E9">
        <w:rPr>
          <w:rFonts w:ascii="Arial" w:hAnsi="Arial" w:cs="Arial"/>
          <w:sz w:val="20"/>
          <w:szCs w:val="20"/>
        </w:rPr>
        <w:t xml:space="preserve"> </w:t>
      </w:r>
    </w:p>
    <w:sectPr w:rsidR="00992449" w:rsidRPr="008F69E9" w:rsidSect="00034616">
      <w:footerReference w:type="default" r:id="rId8"/>
      <w:pgSz w:w="12240" w:h="15840"/>
      <w:pgMar w:top="1100" w:right="1300" w:bottom="1100" w:left="13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E40" w:rsidRDefault="00D04E40" w:rsidP="00540AC3">
      <w:pPr>
        <w:spacing w:after="0" w:line="240" w:lineRule="auto"/>
      </w:pPr>
      <w:r>
        <w:separator/>
      </w:r>
    </w:p>
  </w:endnote>
  <w:endnote w:type="continuationSeparator" w:id="0">
    <w:p w:rsidR="00D04E40" w:rsidRDefault="00D04E40" w:rsidP="00540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7591"/>
      <w:docPartObj>
        <w:docPartGallery w:val="Page Numbers (Bottom of Page)"/>
        <w:docPartUnique/>
      </w:docPartObj>
    </w:sdtPr>
    <w:sdtContent>
      <w:p w:rsidR="00540AC3" w:rsidRDefault="008E58DD">
        <w:pPr>
          <w:pStyle w:val="Footer"/>
          <w:jc w:val="center"/>
        </w:pPr>
        <w:fldSimple w:instr=" PAGE   \* MERGEFORMAT ">
          <w:r w:rsidR="007D4C2F">
            <w:rPr>
              <w:noProof/>
            </w:rPr>
            <w:t>3</w:t>
          </w:r>
        </w:fldSimple>
      </w:p>
    </w:sdtContent>
  </w:sdt>
  <w:p w:rsidR="00540AC3" w:rsidRDefault="00540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E40" w:rsidRDefault="00D04E40" w:rsidP="00540AC3">
      <w:pPr>
        <w:spacing w:after="0" w:line="240" w:lineRule="auto"/>
      </w:pPr>
      <w:r>
        <w:separator/>
      </w:r>
    </w:p>
  </w:footnote>
  <w:footnote w:type="continuationSeparator" w:id="0">
    <w:p w:rsidR="00D04E40" w:rsidRDefault="00D04E40" w:rsidP="00540A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B47730"/>
    <w:rsid w:val="00034616"/>
    <w:rsid w:val="0006063C"/>
    <w:rsid w:val="000F2B71"/>
    <w:rsid w:val="0015074B"/>
    <w:rsid w:val="001A1C95"/>
    <w:rsid w:val="002609B4"/>
    <w:rsid w:val="002770A5"/>
    <w:rsid w:val="0029639D"/>
    <w:rsid w:val="002C57DD"/>
    <w:rsid w:val="002D19EB"/>
    <w:rsid w:val="00326F90"/>
    <w:rsid w:val="004553C4"/>
    <w:rsid w:val="00540AC3"/>
    <w:rsid w:val="005E73D1"/>
    <w:rsid w:val="007D4C2F"/>
    <w:rsid w:val="007F22CC"/>
    <w:rsid w:val="00824844"/>
    <w:rsid w:val="008259BB"/>
    <w:rsid w:val="008E58DD"/>
    <w:rsid w:val="008F69E9"/>
    <w:rsid w:val="00992449"/>
    <w:rsid w:val="0099748E"/>
    <w:rsid w:val="00AA1D8D"/>
    <w:rsid w:val="00AB6F68"/>
    <w:rsid w:val="00B2345E"/>
    <w:rsid w:val="00B47730"/>
    <w:rsid w:val="00CB0664"/>
    <w:rsid w:val="00D04E40"/>
    <w:rsid w:val="00D51CF7"/>
    <w:rsid w:val="00D57839"/>
    <w:rsid w:val="00F3314A"/>
    <w:rsid w:val="00FC693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1">
    <w:name w:val="Normal1"/>
    <w:rsid w:val="00D57839"/>
    <w:pPr>
      <w:widowControl w:val="0"/>
    </w:pPr>
    <w:rPr>
      <w:rFonts w:ascii="Calibri" w:eastAsia="Calibri" w:hAnsi="Calibri" w:cs="Calibri"/>
    </w:rPr>
  </w:style>
  <w:style w:type="character" w:customStyle="1" w:styleId="tal1">
    <w:name w:val="tal1"/>
    <w:basedOn w:val="DefaultParagraphFont"/>
    <w:rsid w:val="00F3314A"/>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2A65-5ADE-46B2-8DAF-806D1F66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1534</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Samir</cp:lastModifiedBy>
  <cp:revision>6</cp:revision>
  <dcterms:created xsi:type="dcterms:W3CDTF">2026-07-10T08:41:00Z</dcterms:created>
  <dcterms:modified xsi:type="dcterms:W3CDTF">2026-07-10T09:44:00Z</dcterms:modified>
</cp:coreProperties>
</file>